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48376" w14:textId="3E0110DD" w:rsidR="00C94C54" w:rsidRDefault="00081B44" w:rsidP="0007720F">
      <w:pPr>
        <w:pStyle w:val="Title"/>
        <w:sectPr w:rsidR="00C94C54" w:rsidSect="00147C38">
          <w:headerReference w:type="even" r:id="rId11"/>
          <w:headerReference w:type="default" r:id="rId12"/>
          <w:footerReference w:type="even" r:id="rId13"/>
          <w:footerReference w:type="default" r:id="rId14"/>
          <w:headerReference w:type="first" r:id="rId15"/>
          <w:pgSz w:w="11906" w:h="16838"/>
          <w:pgMar w:top="2268" w:right="1134" w:bottom="1134" w:left="1134" w:header="709" w:footer="709" w:gutter="0"/>
          <w:cols w:space="708"/>
          <w:titlePg/>
          <w:docGrid w:linePitch="360"/>
        </w:sectPr>
      </w:pPr>
      <w:r>
        <w:rPr>
          <w:noProof/>
        </w:rPr>
        <w:drawing>
          <wp:anchor distT="0" distB="0" distL="114300" distR="114300" simplePos="0" relativeHeight="251658241" behindDoc="1" locked="0" layoutInCell="1" allowOverlap="1" wp14:anchorId="584AE071" wp14:editId="5C91102B">
            <wp:simplePos x="0" y="0"/>
            <wp:positionH relativeFrom="page">
              <wp:align>left</wp:align>
            </wp:positionH>
            <wp:positionV relativeFrom="paragraph">
              <wp:posOffset>1153380</wp:posOffset>
            </wp:positionV>
            <wp:extent cx="8584163" cy="8054142"/>
            <wp:effectExtent l="0" t="0" r="7620" b="444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6">
                      <a:extLst>
                        <a:ext uri="{28A0092B-C50C-407E-A947-70E740481C1C}">
                          <a14:useLocalDpi xmlns:a14="http://schemas.microsoft.com/office/drawing/2010/main" val="0"/>
                        </a:ext>
                      </a:extLst>
                    </a:blip>
                    <a:srcRect l="15694" r="15694"/>
                    <a:stretch>
                      <a:fillRect/>
                    </a:stretch>
                  </pic:blipFill>
                  <pic:spPr bwMode="auto">
                    <a:xfrm>
                      <a:off x="0" y="0"/>
                      <a:ext cx="8584163" cy="80541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1" locked="0" layoutInCell="1" allowOverlap="1" wp14:anchorId="1EA618CA" wp14:editId="1B3C8094">
            <wp:simplePos x="0" y="0"/>
            <wp:positionH relativeFrom="page">
              <wp:align>right</wp:align>
            </wp:positionH>
            <wp:positionV relativeFrom="paragraph">
              <wp:posOffset>-1440180</wp:posOffset>
            </wp:positionV>
            <wp:extent cx="7559040" cy="5229225"/>
            <wp:effectExtent l="0" t="0" r="3810" b="0"/>
            <wp:wrapNone/>
            <wp:docPr id="14" name="Picture 14" descr="A picture containing text,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accessory&#10;&#10;Description automatically generated"/>
                    <pic:cNvPicPr/>
                  </pic:nvPicPr>
                  <pic:blipFill rotWithShape="1">
                    <a:blip r:embed="rId17">
                      <a:extLst>
                        <a:ext uri="{28A0092B-C50C-407E-A947-70E740481C1C}">
                          <a14:useLocalDpi xmlns:a14="http://schemas.microsoft.com/office/drawing/2010/main" val="0"/>
                        </a:ext>
                      </a:extLst>
                    </a:blip>
                    <a:srcRect b="51090"/>
                    <a:stretch/>
                  </pic:blipFill>
                  <pic:spPr bwMode="auto">
                    <a:xfrm>
                      <a:off x="0" y="0"/>
                      <a:ext cx="7559040" cy="5229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33D6E">
        <w:rPr>
          <w:noProof/>
        </w:rPr>
        <mc:AlternateContent>
          <mc:Choice Requires="wps">
            <w:drawing>
              <wp:anchor distT="45720" distB="45720" distL="114300" distR="114300" simplePos="0" relativeHeight="251658240" behindDoc="0" locked="0" layoutInCell="1" allowOverlap="1" wp14:anchorId="76A30C96" wp14:editId="6092A1C5">
                <wp:simplePos x="0" y="0"/>
                <wp:positionH relativeFrom="margin">
                  <wp:align>left</wp:align>
                </wp:positionH>
                <wp:positionV relativeFrom="paragraph">
                  <wp:posOffset>0</wp:posOffset>
                </wp:positionV>
                <wp:extent cx="4279900" cy="2201545"/>
                <wp:effectExtent l="0" t="0" r="6350" b="82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900" cy="2201549"/>
                        </a:xfrm>
                        <a:prstGeom prst="rect">
                          <a:avLst/>
                        </a:prstGeom>
                        <a:noFill/>
                        <a:ln w="9525">
                          <a:noFill/>
                          <a:miter lim="800000"/>
                          <a:headEnd/>
                          <a:tailEnd/>
                        </a:ln>
                      </wps:spPr>
                      <wps:txbx>
                        <w:txbxContent>
                          <w:p w14:paraId="606ABD60" w14:textId="77777777" w:rsidR="00C33D6E" w:rsidRDefault="00C33D6E" w:rsidP="00C33D6E">
                            <w:pPr>
                              <w:pStyle w:val="Title"/>
                              <w:rPr>
                                <w:b/>
                                <w:bCs/>
                                <w:color w:val="FFFFFF" w:themeColor="background1"/>
                              </w:rPr>
                            </w:pPr>
                            <w:r w:rsidRPr="000E3209">
                              <w:rPr>
                                <w:b/>
                                <w:bCs/>
                                <w:color w:val="FFFFFF" w:themeColor="background1"/>
                              </w:rPr>
                              <w:t>Multicultural Strategy: Context &amp; Opportunities</w:t>
                            </w:r>
                          </w:p>
                          <w:p w14:paraId="3D3DF278" w14:textId="77777777" w:rsidR="00C33D6E" w:rsidRPr="00C33D6E" w:rsidRDefault="00C33D6E" w:rsidP="00C33D6E"/>
                          <w:p w14:paraId="08CA1E5B" w14:textId="2FE79E63" w:rsidR="00C33D6E" w:rsidRDefault="00C33D6E" w:rsidP="00C33D6E">
                            <w:pPr>
                              <w:pStyle w:val="Title"/>
                              <w:rPr>
                                <w:color w:val="FFFFFF" w:themeColor="background1"/>
                              </w:rPr>
                            </w:pPr>
                            <w:r>
                              <w:rPr>
                                <w:color w:val="FFFFFF" w:themeColor="background1"/>
                              </w:rPr>
                              <w:t xml:space="preserve"> </w:t>
                            </w:r>
                            <w:r w:rsidRPr="00C33D6E">
                              <w:rPr>
                                <w:color w:val="FFFFFF" w:themeColor="background1"/>
                                <w:sz w:val="32"/>
                                <w:szCs w:val="32"/>
                              </w:rPr>
                              <w:t xml:space="preserve">Version </w:t>
                            </w:r>
                            <w:r>
                              <w:rPr>
                                <w:color w:val="FFFFFF" w:themeColor="background1"/>
                                <w:sz w:val="32"/>
                                <w:szCs w:val="32"/>
                              </w:rPr>
                              <w:t>2</w:t>
                            </w:r>
                            <w:r w:rsidRPr="00C33D6E">
                              <w:rPr>
                                <w:color w:val="FFFFFF" w:themeColor="background1"/>
                                <w:sz w:val="32"/>
                                <w:szCs w:val="32"/>
                              </w:rPr>
                              <w:t>, August</w:t>
                            </w:r>
                            <w:r w:rsidR="00FC37AE">
                              <w:rPr>
                                <w:color w:val="FFFFFF" w:themeColor="background1"/>
                              </w:rPr>
                              <w:t xml:space="preserve"> </w:t>
                            </w:r>
                            <w:r w:rsidRPr="00C33D6E">
                              <w:rPr>
                                <w:color w:val="FFFFFF" w:themeColor="background1"/>
                                <w:sz w:val="32"/>
                                <w:szCs w:val="32"/>
                              </w:rPr>
                              <w:t>2025</w:t>
                            </w:r>
                          </w:p>
                          <w:p w14:paraId="2A0E5AC9" w14:textId="77777777" w:rsidR="00C33D6E" w:rsidRPr="00C33D6E" w:rsidRDefault="00C33D6E" w:rsidP="00C33D6E"/>
                          <w:p w14:paraId="36F22521" w14:textId="75CE5CC6" w:rsidR="0007720F" w:rsidRPr="00B65F1C" w:rsidRDefault="0007720F" w:rsidP="0007720F">
                            <w:pPr>
                              <w:pStyle w:val="Title"/>
                              <w:rPr>
                                <w:color w:val="FFFFFF" w:themeColor="background1"/>
                              </w:rPr>
                            </w:pPr>
                          </w:p>
                          <w:p w14:paraId="028731F7" w14:textId="77777777" w:rsidR="0007720F" w:rsidRPr="00B65F1C" w:rsidRDefault="0007720F" w:rsidP="0007720F">
                            <w:pPr>
                              <w:pStyle w:val="Coverversioncontrol"/>
                              <w:rPr>
                                <w:color w:val="FFFFFF" w:themeColor="background1"/>
                              </w:rPr>
                            </w:pPr>
                            <w:r w:rsidRPr="00B65F1C">
                              <w:rPr>
                                <w:color w:val="FFFFFF" w:themeColor="background1"/>
                              </w:rPr>
                              <w:t>Version X,</w:t>
                            </w:r>
                            <w:r w:rsidR="008D5175" w:rsidRPr="00B65F1C">
                              <w:rPr>
                                <w:color w:val="FFFFFF" w:themeColor="background1"/>
                              </w:rPr>
                              <w:t xml:space="preserve"> DD Month YYYY</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A30C96" id="_x0000_t202" coordsize="21600,21600" o:spt="202" path="m,l,21600r21600,l21600,xe">
                <v:stroke joinstyle="miter"/>
                <v:path gradientshapeok="t" o:connecttype="rect"/>
              </v:shapetype>
              <v:shape id="Text Box 2" o:spid="_x0000_s1026" type="#_x0000_t202" style="position:absolute;margin-left:0;margin-top:0;width:337pt;height:173.3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" filled="f" stroked="f">
                <v:textbox inset="0,0,0,0">
                  <w:txbxContent>
                    <w:p w14:paraId="606ABD60" w14:textId="77777777" w:rsidR="00C33D6E" w:rsidRDefault="00C33D6E" w:rsidP="00C33D6E">
                      <w:pPr>
                        <w:pStyle w:val="Title"/>
                        <w:rPr>
                          <w:b/>
                          <w:bCs/>
                          <w:color w:val="FFFFFF" w:themeColor="background1"/>
                        </w:rPr>
                      </w:pPr>
                      <w:r w:rsidRPr="000E3209">
                        <w:rPr>
                          <w:b/>
                          <w:bCs/>
                          <w:color w:val="FFFFFF" w:themeColor="background1"/>
                        </w:rPr>
                        <w:t>Multicultural Strategy: Context &amp; Opportunities</w:t>
                      </w:r>
                    </w:p>
                    <w:p w14:paraId="3D3DF278" w14:textId="77777777" w:rsidR="00C33D6E" w:rsidRPr="00C33D6E" w:rsidRDefault="00C33D6E" w:rsidP="00C33D6E"/>
                    <w:p w14:paraId="08CA1E5B" w14:textId="2FE79E63" w:rsidR="00C33D6E" w:rsidRDefault="00C33D6E" w:rsidP="00C33D6E">
                      <w:pPr>
                        <w:pStyle w:val="Title"/>
                        <w:rPr>
                          <w:color w:val="FFFFFF" w:themeColor="background1"/>
                        </w:rPr>
                      </w:pPr>
                      <w:r>
                        <w:rPr>
                          <w:color w:val="FFFFFF" w:themeColor="background1"/>
                        </w:rPr>
                        <w:t xml:space="preserve"> </w:t>
                      </w:r>
                      <w:r w:rsidRPr="00C33D6E">
                        <w:rPr>
                          <w:color w:val="FFFFFF" w:themeColor="background1"/>
                          <w:sz w:val="32"/>
                          <w:szCs w:val="32"/>
                        </w:rPr>
                        <w:t xml:space="preserve">Version </w:t>
                      </w:r>
                      <w:r>
                        <w:rPr>
                          <w:color w:val="FFFFFF" w:themeColor="background1"/>
                          <w:sz w:val="32"/>
                          <w:szCs w:val="32"/>
                        </w:rPr>
                        <w:t>2</w:t>
                      </w:r>
                      <w:r w:rsidRPr="00C33D6E">
                        <w:rPr>
                          <w:color w:val="FFFFFF" w:themeColor="background1"/>
                          <w:sz w:val="32"/>
                          <w:szCs w:val="32"/>
                        </w:rPr>
                        <w:t>, August</w:t>
                      </w:r>
                      <w:r w:rsidR="00FC37AE">
                        <w:rPr>
                          <w:color w:val="FFFFFF" w:themeColor="background1"/>
                        </w:rPr>
                        <w:t xml:space="preserve"> </w:t>
                      </w:r>
                      <w:r w:rsidRPr="00C33D6E">
                        <w:rPr>
                          <w:color w:val="FFFFFF" w:themeColor="background1"/>
                          <w:sz w:val="32"/>
                          <w:szCs w:val="32"/>
                        </w:rPr>
                        <w:t>2025</w:t>
                      </w:r>
                    </w:p>
                    <w:p w14:paraId="2A0E5AC9" w14:textId="77777777" w:rsidR="00C33D6E" w:rsidRPr="00C33D6E" w:rsidRDefault="00C33D6E" w:rsidP="00C33D6E"/>
                    <w:p w14:paraId="36F22521" w14:textId="75CE5CC6" w:rsidR="0007720F" w:rsidRPr="00B65F1C" w:rsidRDefault="0007720F" w:rsidP="0007720F">
                      <w:pPr>
                        <w:pStyle w:val="Title"/>
                        <w:rPr>
                          <w:color w:val="FFFFFF" w:themeColor="background1"/>
                        </w:rPr>
                      </w:pPr>
                    </w:p>
                    <w:p w14:paraId="028731F7" w14:textId="77777777" w:rsidR="0007720F" w:rsidRPr="00B65F1C" w:rsidRDefault="0007720F" w:rsidP="0007720F">
                      <w:pPr>
                        <w:pStyle w:val="Coverversioncontrol"/>
                        <w:rPr>
                          <w:color w:val="FFFFFF" w:themeColor="background1"/>
                        </w:rPr>
                      </w:pPr>
                      <w:r w:rsidRPr="00B65F1C">
                        <w:rPr>
                          <w:color w:val="FFFFFF" w:themeColor="background1"/>
                        </w:rPr>
                        <w:t>Version X,</w:t>
                      </w:r>
                      <w:r w:rsidR="008D5175" w:rsidRPr="00B65F1C">
                        <w:rPr>
                          <w:color w:val="FFFFFF" w:themeColor="background1"/>
                        </w:rPr>
                        <w:t xml:space="preserve"> DD Month YYYY</w:t>
                      </w:r>
                    </w:p>
                  </w:txbxContent>
                </v:textbox>
                <w10:wrap type="square" anchorx="margin"/>
              </v:shape>
            </w:pict>
          </mc:Fallback>
        </mc:AlternateContent>
      </w:r>
      <w:r w:rsidR="0007720F">
        <w:t xml:space="preserve">  </w:t>
      </w:r>
    </w:p>
    <w:sdt>
      <w:sdtPr>
        <w:rPr>
          <w:rFonts w:eastAsiaTheme="minorHAnsi" w:cstheme="minorBidi"/>
          <w:b w:val="0"/>
          <w:color w:val="auto"/>
          <w:sz w:val="22"/>
          <w:szCs w:val="22"/>
          <w:lang w:val="en-AU"/>
        </w:rPr>
        <w:id w:val="-919252553"/>
        <w:docPartObj>
          <w:docPartGallery w:val="Table of Contents"/>
          <w:docPartUnique/>
        </w:docPartObj>
      </w:sdtPr>
      <w:sdtEndPr>
        <w:rPr>
          <w:bCs/>
          <w:noProof/>
        </w:rPr>
      </w:sdtEndPr>
      <w:sdtContent>
        <w:p w14:paraId="5781C37A" w14:textId="77777777" w:rsidR="00147C38" w:rsidRDefault="00147C38" w:rsidP="000865EB">
          <w:pPr>
            <w:pStyle w:val="TOCHeading"/>
          </w:pPr>
          <w:r>
            <w:t>Contents</w:t>
          </w:r>
        </w:p>
        <w:p w14:paraId="60ED6862" w14:textId="59AB7EC7" w:rsidR="0034070A" w:rsidRDefault="00147C38">
          <w:pPr>
            <w:pStyle w:val="TOC2"/>
            <w:tabs>
              <w:tab w:val="right" w:leader="dot" w:pos="9628"/>
            </w:tabs>
            <w:rPr>
              <w:rFonts w:asciiTheme="minorHAnsi" w:eastAsiaTheme="minorEastAsia" w:hAnsiTheme="minorHAnsi"/>
              <w:noProof/>
              <w:kern w:val="2"/>
              <w:sz w:val="24"/>
              <w:szCs w:val="24"/>
              <w:lang w:eastAsia="en-AU"/>
              <w14:ligatures w14:val="standardContextual"/>
            </w:rPr>
          </w:pPr>
          <w:r>
            <w:fldChar w:fldCharType="begin"/>
          </w:r>
          <w:r>
            <w:instrText xml:space="preserve"> TOC \o "1-3" \h \z \u </w:instrText>
          </w:r>
          <w:r>
            <w:fldChar w:fldCharType="separate"/>
          </w:r>
          <w:hyperlink w:anchor="_Toc210296851" w:history="1">
            <w:r w:rsidR="0034070A" w:rsidRPr="00F75E02">
              <w:rPr>
                <w:rStyle w:val="Hyperlink"/>
                <w:noProof/>
              </w:rPr>
              <w:t>Introduction</w:t>
            </w:r>
            <w:r w:rsidR="0034070A">
              <w:rPr>
                <w:noProof/>
                <w:webHidden/>
              </w:rPr>
              <w:tab/>
            </w:r>
            <w:r w:rsidR="0034070A">
              <w:rPr>
                <w:noProof/>
                <w:webHidden/>
              </w:rPr>
              <w:fldChar w:fldCharType="begin"/>
            </w:r>
            <w:r w:rsidR="0034070A">
              <w:rPr>
                <w:noProof/>
                <w:webHidden/>
              </w:rPr>
              <w:instrText xml:space="preserve"> PAGEREF _Toc210296851 \h </w:instrText>
            </w:r>
            <w:r w:rsidR="0034070A">
              <w:rPr>
                <w:noProof/>
                <w:webHidden/>
              </w:rPr>
            </w:r>
            <w:r w:rsidR="0034070A">
              <w:rPr>
                <w:noProof/>
                <w:webHidden/>
              </w:rPr>
              <w:fldChar w:fldCharType="separate"/>
            </w:r>
            <w:r w:rsidR="006B0963">
              <w:rPr>
                <w:noProof/>
                <w:webHidden/>
              </w:rPr>
              <w:t>3</w:t>
            </w:r>
            <w:r w:rsidR="0034070A">
              <w:rPr>
                <w:noProof/>
                <w:webHidden/>
              </w:rPr>
              <w:fldChar w:fldCharType="end"/>
            </w:r>
          </w:hyperlink>
        </w:p>
        <w:p w14:paraId="0ECA745C" w14:textId="1BC1639D" w:rsidR="0034070A" w:rsidRDefault="0034070A">
          <w:pPr>
            <w:pStyle w:val="TOC3"/>
            <w:tabs>
              <w:tab w:val="right" w:leader="dot" w:pos="9628"/>
            </w:tabs>
            <w:rPr>
              <w:rFonts w:asciiTheme="minorHAnsi" w:eastAsiaTheme="minorEastAsia" w:hAnsiTheme="minorHAnsi"/>
              <w:noProof/>
              <w:kern w:val="2"/>
              <w:sz w:val="24"/>
              <w:szCs w:val="24"/>
              <w:lang w:eastAsia="en-AU"/>
              <w14:ligatures w14:val="standardContextual"/>
            </w:rPr>
          </w:pPr>
          <w:hyperlink w:anchor="_Toc210296852" w:history="1">
            <w:r w:rsidRPr="00F75E02">
              <w:rPr>
                <w:rStyle w:val="Hyperlink"/>
                <w:noProof/>
              </w:rPr>
              <w:t>Definitions of Multiculturalism</w:t>
            </w:r>
            <w:r>
              <w:rPr>
                <w:noProof/>
                <w:webHidden/>
              </w:rPr>
              <w:tab/>
            </w:r>
            <w:r>
              <w:rPr>
                <w:noProof/>
                <w:webHidden/>
              </w:rPr>
              <w:fldChar w:fldCharType="begin"/>
            </w:r>
            <w:r>
              <w:rPr>
                <w:noProof/>
                <w:webHidden/>
              </w:rPr>
              <w:instrText xml:space="preserve"> PAGEREF _Toc210296852 \h </w:instrText>
            </w:r>
            <w:r>
              <w:rPr>
                <w:noProof/>
                <w:webHidden/>
              </w:rPr>
            </w:r>
            <w:r>
              <w:rPr>
                <w:noProof/>
                <w:webHidden/>
              </w:rPr>
              <w:fldChar w:fldCharType="separate"/>
            </w:r>
            <w:r w:rsidR="006B0963">
              <w:rPr>
                <w:noProof/>
                <w:webHidden/>
              </w:rPr>
              <w:t>3</w:t>
            </w:r>
            <w:r>
              <w:rPr>
                <w:noProof/>
                <w:webHidden/>
              </w:rPr>
              <w:fldChar w:fldCharType="end"/>
            </w:r>
          </w:hyperlink>
        </w:p>
        <w:p w14:paraId="07DEB176" w14:textId="48B5FF06" w:rsidR="0034070A" w:rsidRDefault="0034070A">
          <w:pPr>
            <w:pStyle w:val="TOC3"/>
            <w:tabs>
              <w:tab w:val="right" w:leader="dot" w:pos="9628"/>
            </w:tabs>
            <w:rPr>
              <w:rFonts w:asciiTheme="minorHAnsi" w:eastAsiaTheme="minorEastAsia" w:hAnsiTheme="minorHAnsi"/>
              <w:noProof/>
              <w:kern w:val="2"/>
              <w:sz w:val="24"/>
              <w:szCs w:val="24"/>
              <w:lang w:eastAsia="en-AU"/>
              <w14:ligatures w14:val="standardContextual"/>
            </w:rPr>
          </w:pPr>
          <w:hyperlink w:anchor="_Toc210296853" w:history="1">
            <w:r w:rsidRPr="00F75E02">
              <w:rPr>
                <w:rStyle w:val="Hyperlink"/>
                <w:noProof/>
              </w:rPr>
              <w:t>First Nations and Multiculturalism</w:t>
            </w:r>
            <w:r>
              <w:rPr>
                <w:noProof/>
                <w:webHidden/>
              </w:rPr>
              <w:tab/>
            </w:r>
            <w:r>
              <w:rPr>
                <w:noProof/>
                <w:webHidden/>
              </w:rPr>
              <w:fldChar w:fldCharType="begin"/>
            </w:r>
            <w:r>
              <w:rPr>
                <w:noProof/>
                <w:webHidden/>
              </w:rPr>
              <w:instrText xml:space="preserve"> PAGEREF _Toc210296853 \h </w:instrText>
            </w:r>
            <w:r>
              <w:rPr>
                <w:noProof/>
                <w:webHidden/>
              </w:rPr>
            </w:r>
            <w:r>
              <w:rPr>
                <w:noProof/>
                <w:webHidden/>
              </w:rPr>
              <w:fldChar w:fldCharType="separate"/>
            </w:r>
            <w:r w:rsidR="006B0963">
              <w:rPr>
                <w:noProof/>
                <w:webHidden/>
              </w:rPr>
              <w:t>3</w:t>
            </w:r>
            <w:r>
              <w:rPr>
                <w:noProof/>
                <w:webHidden/>
              </w:rPr>
              <w:fldChar w:fldCharType="end"/>
            </w:r>
          </w:hyperlink>
        </w:p>
        <w:p w14:paraId="054AACA6" w14:textId="30E50F45" w:rsidR="0034070A" w:rsidRDefault="0034070A">
          <w:pPr>
            <w:pStyle w:val="TOC3"/>
            <w:tabs>
              <w:tab w:val="right" w:leader="dot" w:pos="9628"/>
            </w:tabs>
            <w:rPr>
              <w:rFonts w:asciiTheme="minorHAnsi" w:eastAsiaTheme="minorEastAsia" w:hAnsiTheme="minorHAnsi"/>
              <w:noProof/>
              <w:kern w:val="2"/>
              <w:sz w:val="24"/>
              <w:szCs w:val="24"/>
              <w:lang w:eastAsia="en-AU"/>
              <w14:ligatures w14:val="standardContextual"/>
            </w:rPr>
          </w:pPr>
          <w:hyperlink w:anchor="_Toc210296854" w:history="1">
            <w:r w:rsidRPr="00F75E02">
              <w:rPr>
                <w:rStyle w:val="Hyperlink"/>
                <w:noProof/>
              </w:rPr>
              <w:t>Multiculturalism Must Confront Racism</w:t>
            </w:r>
            <w:r>
              <w:rPr>
                <w:noProof/>
                <w:webHidden/>
              </w:rPr>
              <w:tab/>
            </w:r>
            <w:r>
              <w:rPr>
                <w:noProof/>
                <w:webHidden/>
              </w:rPr>
              <w:fldChar w:fldCharType="begin"/>
            </w:r>
            <w:r>
              <w:rPr>
                <w:noProof/>
                <w:webHidden/>
              </w:rPr>
              <w:instrText xml:space="preserve"> PAGEREF _Toc210296854 \h </w:instrText>
            </w:r>
            <w:r>
              <w:rPr>
                <w:noProof/>
                <w:webHidden/>
              </w:rPr>
            </w:r>
            <w:r>
              <w:rPr>
                <w:noProof/>
                <w:webHidden/>
              </w:rPr>
              <w:fldChar w:fldCharType="separate"/>
            </w:r>
            <w:r w:rsidR="006B0963">
              <w:rPr>
                <w:noProof/>
                <w:webHidden/>
              </w:rPr>
              <w:t>3</w:t>
            </w:r>
            <w:r>
              <w:rPr>
                <w:noProof/>
                <w:webHidden/>
              </w:rPr>
              <w:fldChar w:fldCharType="end"/>
            </w:r>
          </w:hyperlink>
        </w:p>
        <w:p w14:paraId="1CCE194C" w14:textId="14E42A3D" w:rsidR="0034070A" w:rsidRDefault="0034070A">
          <w:pPr>
            <w:pStyle w:val="TOC3"/>
            <w:tabs>
              <w:tab w:val="right" w:leader="dot" w:pos="9628"/>
            </w:tabs>
            <w:rPr>
              <w:rFonts w:asciiTheme="minorHAnsi" w:eastAsiaTheme="minorEastAsia" w:hAnsiTheme="minorHAnsi"/>
              <w:noProof/>
              <w:kern w:val="2"/>
              <w:sz w:val="24"/>
              <w:szCs w:val="24"/>
              <w:lang w:eastAsia="en-AU"/>
              <w14:ligatures w14:val="standardContextual"/>
            </w:rPr>
          </w:pPr>
          <w:hyperlink w:anchor="_Toc210296855" w:history="1">
            <w:r w:rsidRPr="00F75E02">
              <w:rPr>
                <w:rStyle w:val="Hyperlink"/>
                <w:noProof/>
              </w:rPr>
              <w:t>Roles of Different Levels of Government in Multiculturalism</w:t>
            </w:r>
            <w:r>
              <w:rPr>
                <w:noProof/>
                <w:webHidden/>
              </w:rPr>
              <w:tab/>
            </w:r>
            <w:r>
              <w:rPr>
                <w:noProof/>
                <w:webHidden/>
              </w:rPr>
              <w:fldChar w:fldCharType="begin"/>
            </w:r>
            <w:r>
              <w:rPr>
                <w:noProof/>
                <w:webHidden/>
              </w:rPr>
              <w:instrText xml:space="preserve"> PAGEREF _Toc210296855 \h </w:instrText>
            </w:r>
            <w:r>
              <w:rPr>
                <w:noProof/>
                <w:webHidden/>
              </w:rPr>
            </w:r>
            <w:r>
              <w:rPr>
                <w:noProof/>
                <w:webHidden/>
              </w:rPr>
              <w:fldChar w:fldCharType="separate"/>
            </w:r>
            <w:r w:rsidR="006B0963">
              <w:rPr>
                <w:noProof/>
                <w:webHidden/>
              </w:rPr>
              <w:t>3</w:t>
            </w:r>
            <w:r>
              <w:rPr>
                <w:noProof/>
                <w:webHidden/>
              </w:rPr>
              <w:fldChar w:fldCharType="end"/>
            </w:r>
          </w:hyperlink>
        </w:p>
        <w:p w14:paraId="29AD4CE8" w14:textId="645B4363" w:rsidR="0034070A" w:rsidRDefault="0034070A">
          <w:pPr>
            <w:pStyle w:val="TOC2"/>
            <w:tabs>
              <w:tab w:val="right" w:leader="dot" w:pos="9628"/>
            </w:tabs>
            <w:rPr>
              <w:rFonts w:asciiTheme="minorHAnsi" w:eastAsiaTheme="minorEastAsia" w:hAnsiTheme="minorHAnsi"/>
              <w:noProof/>
              <w:kern w:val="2"/>
              <w:sz w:val="24"/>
              <w:szCs w:val="24"/>
              <w:lang w:eastAsia="en-AU"/>
              <w14:ligatures w14:val="standardContextual"/>
            </w:rPr>
          </w:pPr>
          <w:hyperlink w:anchor="_Toc210296856" w:history="1">
            <w:r w:rsidRPr="00F75E02">
              <w:rPr>
                <w:rStyle w:val="Hyperlink"/>
                <w:noProof/>
              </w:rPr>
              <w:t>City of Port Phillip background</w:t>
            </w:r>
            <w:r>
              <w:rPr>
                <w:noProof/>
                <w:webHidden/>
              </w:rPr>
              <w:tab/>
            </w:r>
            <w:r>
              <w:rPr>
                <w:noProof/>
                <w:webHidden/>
              </w:rPr>
              <w:fldChar w:fldCharType="begin"/>
            </w:r>
            <w:r>
              <w:rPr>
                <w:noProof/>
                <w:webHidden/>
              </w:rPr>
              <w:instrText xml:space="preserve"> PAGEREF _Toc210296856 \h </w:instrText>
            </w:r>
            <w:r>
              <w:rPr>
                <w:noProof/>
                <w:webHidden/>
              </w:rPr>
            </w:r>
            <w:r>
              <w:rPr>
                <w:noProof/>
                <w:webHidden/>
              </w:rPr>
              <w:fldChar w:fldCharType="separate"/>
            </w:r>
            <w:r w:rsidR="006B0963">
              <w:rPr>
                <w:noProof/>
                <w:webHidden/>
              </w:rPr>
              <w:t>4</w:t>
            </w:r>
            <w:r>
              <w:rPr>
                <w:noProof/>
                <w:webHidden/>
              </w:rPr>
              <w:fldChar w:fldCharType="end"/>
            </w:r>
          </w:hyperlink>
        </w:p>
        <w:p w14:paraId="786C2104" w14:textId="3D608FD2" w:rsidR="0034070A" w:rsidRDefault="0034070A">
          <w:pPr>
            <w:pStyle w:val="TOC3"/>
            <w:tabs>
              <w:tab w:val="right" w:leader="dot" w:pos="9628"/>
            </w:tabs>
            <w:rPr>
              <w:rFonts w:asciiTheme="minorHAnsi" w:eastAsiaTheme="minorEastAsia" w:hAnsiTheme="minorHAnsi"/>
              <w:noProof/>
              <w:kern w:val="2"/>
              <w:sz w:val="24"/>
              <w:szCs w:val="24"/>
              <w:lang w:eastAsia="en-AU"/>
              <w14:ligatures w14:val="standardContextual"/>
            </w:rPr>
          </w:pPr>
          <w:hyperlink w:anchor="_Toc210296857" w:history="1">
            <w:r w:rsidRPr="00F75E02">
              <w:rPr>
                <w:rStyle w:val="Hyperlink"/>
                <w:noProof/>
              </w:rPr>
              <w:t>Historical background</w:t>
            </w:r>
            <w:r>
              <w:rPr>
                <w:noProof/>
                <w:webHidden/>
              </w:rPr>
              <w:tab/>
            </w:r>
            <w:r>
              <w:rPr>
                <w:noProof/>
                <w:webHidden/>
              </w:rPr>
              <w:fldChar w:fldCharType="begin"/>
            </w:r>
            <w:r>
              <w:rPr>
                <w:noProof/>
                <w:webHidden/>
              </w:rPr>
              <w:instrText xml:space="preserve"> PAGEREF _Toc210296857 \h </w:instrText>
            </w:r>
            <w:r>
              <w:rPr>
                <w:noProof/>
                <w:webHidden/>
              </w:rPr>
            </w:r>
            <w:r>
              <w:rPr>
                <w:noProof/>
                <w:webHidden/>
              </w:rPr>
              <w:fldChar w:fldCharType="separate"/>
            </w:r>
            <w:r w:rsidR="006B0963">
              <w:rPr>
                <w:noProof/>
                <w:webHidden/>
              </w:rPr>
              <w:t>4</w:t>
            </w:r>
            <w:r>
              <w:rPr>
                <w:noProof/>
                <w:webHidden/>
              </w:rPr>
              <w:fldChar w:fldCharType="end"/>
            </w:r>
          </w:hyperlink>
        </w:p>
        <w:p w14:paraId="673B9441" w14:textId="3AEE66D3" w:rsidR="0034070A" w:rsidRDefault="0034070A">
          <w:pPr>
            <w:pStyle w:val="TOC3"/>
            <w:tabs>
              <w:tab w:val="right" w:leader="dot" w:pos="9628"/>
            </w:tabs>
            <w:rPr>
              <w:rFonts w:asciiTheme="minorHAnsi" w:eastAsiaTheme="minorEastAsia" w:hAnsiTheme="minorHAnsi"/>
              <w:noProof/>
              <w:kern w:val="2"/>
              <w:sz w:val="24"/>
              <w:szCs w:val="24"/>
              <w:lang w:eastAsia="en-AU"/>
              <w14:ligatures w14:val="standardContextual"/>
            </w:rPr>
          </w:pPr>
          <w:hyperlink w:anchor="_Toc210296858" w:history="1">
            <w:r w:rsidRPr="00F75E02">
              <w:rPr>
                <w:rStyle w:val="Hyperlink"/>
                <w:noProof/>
              </w:rPr>
              <w:t>Current Council initiatives that support multiculturalism</w:t>
            </w:r>
            <w:r>
              <w:rPr>
                <w:noProof/>
                <w:webHidden/>
              </w:rPr>
              <w:tab/>
            </w:r>
            <w:r>
              <w:rPr>
                <w:noProof/>
                <w:webHidden/>
              </w:rPr>
              <w:fldChar w:fldCharType="begin"/>
            </w:r>
            <w:r>
              <w:rPr>
                <w:noProof/>
                <w:webHidden/>
              </w:rPr>
              <w:instrText xml:space="preserve"> PAGEREF _Toc210296858 \h </w:instrText>
            </w:r>
            <w:r>
              <w:rPr>
                <w:noProof/>
                <w:webHidden/>
              </w:rPr>
            </w:r>
            <w:r>
              <w:rPr>
                <w:noProof/>
                <w:webHidden/>
              </w:rPr>
              <w:fldChar w:fldCharType="separate"/>
            </w:r>
            <w:r w:rsidR="006B0963">
              <w:rPr>
                <w:noProof/>
                <w:webHidden/>
              </w:rPr>
              <w:t>5</w:t>
            </w:r>
            <w:r>
              <w:rPr>
                <w:noProof/>
                <w:webHidden/>
              </w:rPr>
              <w:fldChar w:fldCharType="end"/>
            </w:r>
          </w:hyperlink>
        </w:p>
        <w:p w14:paraId="73B380EA" w14:textId="71AAE2F0" w:rsidR="0034070A" w:rsidRDefault="0034070A">
          <w:pPr>
            <w:pStyle w:val="TOC3"/>
            <w:tabs>
              <w:tab w:val="right" w:leader="dot" w:pos="9628"/>
            </w:tabs>
            <w:rPr>
              <w:rFonts w:asciiTheme="minorHAnsi" w:eastAsiaTheme="minorEastAsia" w:hAnsiTheme="minorHAnsi"/>
              <w:noProof/>
              <w:kern w:val="2"/>
              <w:sz w:val="24"/>
              <w:szCs w:val="24"/>
              <w:lang w:eastAsia="en-AU"/>
              <w14:ligatures w14:val="standardContextual"/>
            </w:rPr>
          </w:pPr>
          <w:hyperlink w:anchor="_Toc210296859" w:history="1">
            <w:r w:rsidRPr="00F75E02">
              <w:rPr>
                <w:rStyle w:val="Hyperlink"/>
                <w:noProof/>
              </w:rPr>
              <w:t>City of Port Phillip Community Profile</w:t>
            </w:r>
            <w:r>
              <w:rPr>
                <w:noProof/>
                <w:webHidden/>
              </w:rPr>
              <w:tab/>
            </w:r>
            <w:r>
              <w:rPr>
                <w:noProof/>
                <w:webHidden/>
              </w:rPr>
              <w:fldChar w:fldCharType="begin"/>
            </w:r>
            <w:r>
              <w:rPr>
                <w:noProof/>
                <w:webHidden/>
              </w:rPr>
              <w:instrText xml:space="preserve"> PAGEREF _Toc210296859 \h </w:instrText>
            </w:r>
            <w:r>
              <w:rPr>
                <w:noProof/>
                <w:webHidden/>
              </w:rPr>
            </w:r>
            <w:r>
              <w:rPr>
                <w:noProof/>
                <w:webHidden/>
              </w:rPr>
              <w:fldChar w:fldCharType="separate"/>
            </w:r>
            <w:r w:rsidR="006B0963">
              <w:rPr>
                <w:noProof/>
                <w:webHidden/>
              </w:rPr>
              <w:t>5</w:t>
            </w:r>
            <w:r>
              <w:rPr>
                <w:noProof/>
                <w:webHidden/>
              </w:rPr>
              <w:fldChar w:fldCharType="end"/>
            </w:r>
          </w:hyperlink>
        </w:p>
        <w:p w14:paraId="48658226" w14:textId="457E27B2" w:rsidR="0034070A" w:rsidRDefault="0034070A">
          <w:pPr>
            <w:pStyle w:val="TOC3"/>
            <w:tabs>
              <w:tab w:val="right" w:leader="dot" w:pos="9628"/>
            </w:tabs>
            <w:rPr>
              <w:rFonts w:asciiTheme="minorHAnsi" w:eastAsiaTheme="minorEastAsia" w:hAnsiTheme="minorHAnsi"/>
              <w:noProof/>
              <w:kern w:val="2"/>
              <w:sz w:val="24"/>
              <w:szCs w:val="24"/>
              <w:lang w:eastAsia="en-AU"/>
              <w14:ligatures w14:val="standardContextual"/>
            </w:rPr>
          </w:pPr>
          <w:hyperlink w:anchor="_Toc210296860" w:history="1">
            <w:r w:rsidRPr="00F75E02">
              <w:rPr>
                <w:rStyle w:val="Hyperlink"/>
                <w:noProof/>
              </w:rPr>
              <w:t>Migration Data and Trends for the City of Port Phillip</w:t>
            </w:r>
            <w:r>
              <w:rPr>
                <w:noProof/>
                <w:webHidden/>
              </w:rPr>
              <w:tab/>
            </w:r>
            <w:r>
              <w:rPr>
                <w:noProof/>
                <w:webHidden/>
              </w:rPr>
              <w:fldChar w:fldCharType="begin"/>
            </w:r>
            <w:r>
              <w:rPr>
                <w:noProof/>
                <w:webHidden/>
              </w:rPr>
              <w:instrText xml:space="preserve"> PAGEREF _Toc210296860 \h </w:instrText>
            </w:r>
            <w:r>
              <w:rPr>
                <w:noProof/>
                <w:webHidden/>
              </w:rPr>
            </w:r>
            <w:r>
              <w:rPr>
                <w:noProof/>
                <w:webHidden/>
              </w:rPr>
              <w:fldChar w:fldCharType="separate"/>
            </w:r>
            <w:r w:rsidR="006B0963">
              <w:rPr>
                <w:noProof/>
                <w:webHidden/>
              </w:rPr>
              <w:t>6</w:t>
            </w:r>
            <w:r>
              <w:rPr>
                <w:noProof/>
                <w:webHidden/>
              </w:rPr>
              <w:fldChar w:fldCharType="end"/>
            </w:r>
          </w:hyperlink>
        </w:p>
        <w:p w14:paraId="793ED06E" w14:textId="20E722AB" w:rsidR="0034070A" w:rsidRDefault="0034070A">
          <w:pPr>
            <w:pStyle w:val="TOC2"/>
            <w:tabs>
              <w:tab w:val="right" w:leader="dot" w:pos="9628"/>
            </w:tabs>
            <w:rPr>
              <w:rFonts w:asciiTheme="minorHAnsi" w:eastAsiaTheme="minorEastAsia" w:hAnsiTheme="minorHAnsi"/>
              <w:noProof/>
              <w:kern w:val="2"/>
              <w:sz w:val="24"/>
              <w:szCs w:val="24"/>
              <w:lang w:eastAsia="en-AU"/>
              <w14:ligatures w14:val="standardContextual"/>
            </w:rPr>
          </w:pPr>
          <w:hyperlink w:anchor="_Toc210296861" w:history="1">
            <w:r w:rsidRPr="00F75E02">
              <w:rPr>
                <w:rStyle w:val="Hyperlink"/>
                <w:noProof/>
              </w:rPr>
              <w:t>Multicultural Inclusion: Legislative and Policy Foundations for Local Government</w:t>
            </w:r>
            <w:r>
              <w:rPr>
                <w:noProof/>
                <w:webHidden/>
              </w:rPr>
              <w:tab/>
            </w:r>
            <w:r>
              <w:rPr>
                <w:noProof/>
                <w:webHidden/>
              </w:rPr>
              <w:fldChar w:fldCharType="begin"/>
            </w:r>
            <w:r>
              <w:rPr>
                <w:noProof/>
                <w:webHidden/>
              </w:rPr>
              <w:instrText xml:space="preserve"> PAGEREF _Toc210296861 \h </w:instrText>
            </w:r>
            <w:r>
              <w:rPr>
                <w:noProof/>
                <w:webHidden/>
              </w:rPr>
            </w:r>
            <w:r>
              <w:rPr>
                <w:noProof/>
                <w:webHidden/>
              </w:rPr>
              <w:fldChar w:fldCharType="separate"/>
            </w:r>
            <w:r w:rsidR="006B0963">
              <w:rPr>
                <w:noProof/>
                <w:webHidden/>
              </w:rPr>
              <w:t>6</w:t>
            </w:r>
            <w:r>
              <w:rPr>
                <w:noProof/>
                <w:webHidden/>
              </w:rPr>
              <w:fldChar w:fldCharType="end"/>
            </w:r>
          </w:hyperlink>
        </w:p>
        <w:p w14:paraId="79CF09FD" w14:textId="0328D366" w:rsidR="0034070A" w:rsidRDefault="0034070A">
          <w:pPr>
            <w:pStyle w:val="TOC2"/>
            <w:tabs>
              <w:tab w:val="right" w:leader="dot" w:pos="9628"/>
            </w:tabs>
            <w:rPr>
              <w:rFonts w:asciiTheme="minorHAnsi" w:eastAsiaTheme="minorEastAsia" w:hAnsiTheme="minorHAnsi"/>
              <w:noProof/>
              <w:kern w:val="2"/>
              <w:sz w:val="24"/>
              <w:szCs w:val="24"/>
              <w:lang w:eastAsia="en-AU"/>
              <w14:ligatures w14:val="standardContextual"/>
            </w:rPr>
          </w:pPr>
          <w:hyperlink w:anchor="_Toc210296862" w:history="1">
            <w:r w:rsidRPr="00F75E02">
              <w:rPr>
                <w:rStyle w:val="Hyperlink"/>
                <w:noProof/>
              </w:rPr>
              <w:t>Frameworks of practice for Local Government and opportunities</w:t>
            </w:r>
            <w:r>
              <w:rPr>
                <w:noProof/>
                <w:webHidden/>
              </w:rPr>
              <w:tab/>
            </w:r>
            <w:r>
              <w:rPr>
                <w:noProof/>
                <w:webHidden/>
              </w:rPr>
              <w:fldChar w:fldCharType="begin"/>
            </w:r>
            <w:r>
              <w:rPr>
                <w:noProof/>
                <w:webHidden/>
              </w:rPr>
              <w:instrText xml:space="preserve"> PAGEREF _Toc210296862 \h </w:instrText>
            </w:r>
            <w:r>
              <w:rPr>
                <w:noProof/>
                <w:webHidden/>
              </w:rPr>
            </w:r>
            <w:r>
              <w:rPr>
                <w:noProof/>
                <w:webHidden/>
              </w:rPr>
              <w:fldChar w:fldCharType="separate"/>
            </w:r>
            <w:r w:rsidR="006B0963">
              <w:rPr>
                <w:noProof/>
                <w:webHidden/>
              </w:rPr>
              <w:t>7</w:t>
            </w:r>
            <w:r>
              <w:rPr>
                <w:noProof/>
                <w:webHidden/>
              </w:rPr>
              <w:fldChar w:fldCharType="end"/>
            </w:r>
          </w:hyperlink>
        </w:p>
        <w:p w14:paraId="16BF1CD5" w14:textId="29AD7162" w:rsidR="0034070A" w:rsidRDefault="0034070A">
          <w:pPr>
            <w:pStyle w:val="TOC3"/>
            <w:tabs>
              <w:tab w:val="right" w:leader="dot" w:pos="9628"/>
            </w:tabs>
            <w:rPr>
              <w:rFonts w:asciiTheme="minorHAnsi" w:eastAsiaTheme="minorEastAsia" w:hAnsiTheme="minorHAnsi"/>
              <w:noProof/>
              <w:kern w:val="2"/>
              <w:sz w:val="24"/>
              <w:szCs w:val="24"/>
              <w:lang w:eastAsia="en-AU"/>
              <w14:ligatures w14:val="standardContextual"/>
            </w:rPr>
          </w:pPr>
          <w:hyperlink w:anchor="_Toc210296863" w:history="1">
            <w:r w:rsidRPr="00F75E02">
              <w:rPr>
                <w:rStyle w:val="Hyperlink"/>
                <w:noProof/>
              </w:rPr>
              <w:t>Strategic Opportunities</w:t>
            </w:r>
            <w:r>
              <w:rPr>
                <w:noProof/>
                <w:webHidden/>
              </w:rPr>
              <w:tab/>
            </w:r>
            <w:r>
              <w:rPr>
                <w:noProof/>
                <w:webHidden/>
              </w:rPr>
              <w:fldChar w:fldCharType="begin"/>
            </w:r>
            <w:r>
              <w:rPr>
                <w:noProof/>
                <w:webHidden/>
              </w:rPr>
              <w:instrText xml:space="preserve"> PAGEREF _Toc210296863 \h </w:instrText>
            </w:r>
            <w:r>
              <w:rPr>
                <w:noProof/>
                <w:webHidden/>
              </w:rPr>
            </w:r>
            <w:r>
              <w:rPr>
                <w:noProof/>
                <w:webHidden/>
              </w:rPr>
              <w:fldChar w:fldCharType="separate"/>
            </w:r>
            <w:r w:rsidR="006B0963">
              <w:rPr>
                <w:noProof/>
                <w:webHidden/>
              </w:rPr>
              <w:t>7</w:t>
            </w:r>
            <w:r>
              <w:rPr>
                <w:noProof/>
                <w:webHidden/>
              </w:rPr>
              <w:fldChar w:fldCharType="end"/>
            </w:r>
          </w:hyperlink>
        </w:p>
        <w:p w14:paraId="3CC1DCD7" w14:textId="19B6FC49" w:rsidR="0034070A" w:rsidRDefault="0034070A">
          <w:pPr>
            <w:pStyle w:val="TOC2"/>
            <w:tabs>
              <w:tab w:val="right" w:leader="dot" w:pos="9628"/>
            </w:tabs>
            <w:rPr>
              <w:rFonts w:asciiTheme="minorHAnsi" w:eastAsiaTheme="minorEastAsia" w:hAnsiTheme="minorHAnsi"/>
              <w:noProof/>
              <w:kern w:val="2"/>
              <w:sz w:val="24"/>
              <w:szCs w:val="24"/>
              <w:lang w:eastAsia="en-AU"/>
              <w14:ligatures w14:val="standardContextual"/>
            </w:rPr>
          </w:pPr>
          <w:hyperlink w:anchor="_Toc210296864" w:history="1">
            <w:r w:rsidRPr="00F75E02">
              <w:rPr>
                <w:rStyle w:val="Hyperlink"/>
                <w:noProof/>
              </w:rPr>
              <w:t>Conclusion</w:t>
            </w:r>
            <w:r>
              <w:rPr>
                <w:noProof/>
                <w:webHidden/>
              </w:rPr>
              <w:tab/>
            </w:r>
            <w:r>
              <w:rPr>
                <w:noProof/>
                <w:webHidden/>
              </w:rPr>
              <w:fldChar w:fldCharType="begin"/>
            </w:r>
            <w:r>
              <w:rPr>
                <w:noProof/>
                <w:webHidden/>
              </w:rPr>
              <w:instrText xml:space="preserve"> PAGEREF _Toc210296864 \h </w:instrText>
            </w:r>
            <w:r>
              <w:rPr>
                <w:noProof/>
                <w:webHidden/>
              </w:rPr>
            </w:r>
            <w:r>
              <w:rPr>
                <w:noProof/>
                <w:webHidden/>
              </w:rPr>
              <w:fldChar w:fldCharType="separate"/>
            </w:r>
            <w:r w:rsidR="006B0963">
              <w:rPr>
                <w:noProof/>
                <w:webHidden/>
              </w:rPr>
              <w:t>8</w:t>
            </w:r>
            <w:r>
              <w:rPr>
                <w:noProof/>
                <w:webHidden/>
              </w:rPr>
              <w:fldChar w:fldCharType="end"/>
            </w:r>
          </w:hyperlink>
        </w:p>
        <w:p w14:paraId="7AFB80FF" w14:textId="7441E630" w:rsidR="00147C38" w:rsidRDefault="00147C38">
          <w:r>
            <w:rPr>
              <w:b/>
              <w:bCs/>
              <w:noProof/>
            </w:rPr>
            <w:fldChar w:fldCharType="end"/>
          </w:r>
        </w:p>
      </w:sdtContent>
    </w:sdt>
    <w:p w14:paraId="1D90A323" w14:textId="77777777" w:rsidR="00BD0F6D" w:rsidRDefault="00BD0F6D" w:rsidP="00BD0F6D">
      <w:pPr>
        <w:rPr>
          <w:rFonts w:eastAsiaTheme="majorEastAsia" w:cstheme="majorBidi"/>
          <w:spacing w:val="-10"/>
          <w:kern w:val="28"/>
          <w:sz w:val="32"/>
          <w:szCs w:val="32"/>
        </w:rPr>
      </w:pPr>
    </w:p>
    <w:p w14:paraId="50CF29CA" w14:textId="77777777" w:rsidR="00212E87" w:rsidRDefault="00BD0F6D" w:rsidP="00BD0F6D">
      <w:pPr>
        <w:tabs>
          <w:tab w:val="left" w:pos="2280"/>
        </w:tabs>
        <w:rPr>
          <w:rFonts w:eastAsiaTheme="majorEastAsia" w:cstheme="majorBidi"/>
          <w:spacing w:val="-10"/>
          <w:kern w:val="28"/>
          <w:sz w:val="32"/>
          <w:szCs w:val="32"/>
        </w:rPr>
      </w:pPr>
      <w:r>
        <w:rPr>
          <w:rFonts w:eastAsiaTheme="majorEastAsia" w:cstheme="majorBidi"/>
          <w:spacing w:val="-10"/>
          <w:kern w:val="28"/>
          <w:sz w:val="32"/>
          <w:szCs w:val="32"/>
        </w:rPr>
        <w:tab/>
      </w:r>
    </w:p>
    <w:p w14:paraId="36830D70" w14:textId="77777777" w:rsidR="00212E87" w:rsidRDefault="00212E87">
      <w:pPr>
        <w:spacing w:line="259" w:lineRule="auto"/>
        <w:rPr>
          <w:rFonts w:eastAsiaTheme="majorEastAsia" w:cstheme="majorBidi"/>
          <w:spacing w:val="-10"/>
          <w:kern w:val="28"/>
          <w:sz w:val="32"/>
          <w:szCs w:val="32"/>
        </w:rPr>
      </w:pPr>
      <w:r>
        <w:rPr>
          <w:rFonts w:eastAsiaTheme="majorEastAsia" w:cstheme="majorBidi"/>
          <w:spacing w:val="-10"/>
          <w:kern w:val="28"/>
          <w:sz w:val="32"/>
          <w:szCs w:val="32"/>
        </w:rPr>
        <w:br w:type="page"/>
      </w:r>
    </w:p>
    <w:p w14:paraId="3562278D" w14:textId="3A0C7357" w:rsidR="00C33D6E" w:rsidRPr="00CC49B7" w:rsidRDefault="00C33D6E" w:rsidP="00CC49B7">
      <w:pPr>
        <w:pStyle w:val="Heading2"/>
      </w:pPr>
      <w:bookmarkStart w:id="1" w:name="_Toc210296851"/>
      <w:r w:rsidRPr="00CC49B7">
        <w:lastRenderedPageBreak/>
        <w:t>Introduction</w:t>
      </w:r>
      <w:bookmarkEnd w:id="1"/>
      <w:r w:rsidRPr="00CC49B7">
        <w:t xml:space="preserve"> </w:t>
      </w:r>
    </w:p>
    <w:p w14:paraId="11942B4F" w14:textId="77777777" w:rsidR="00C33D6E" w:rsidRPr="00683AC7" w:rsidRDefault="00C33D6E" w:rsidP="00C33D6E">
      <w:pPr>
        <w:rPr>
          <w:rFonts w:cs="Arial"/>
        </w:rPr>
      </w:pPr>
      <w:r w:rsidRPr="00683AC7">
        <w:rPr>
          <w:rFonts w:cs="Arial"/>
        </w:rPr>
        <w:t xml:space="preserve">The City of Port Phillip is developing a Multicultural Strategy to better support its diverse communities by ensuring inclusive and equitable services and engagement. This strategy aligns with the newly adopted </w:t>
      </w:r>
      <w:r w:rsidRPr="00683AC7">
        <w:rPr>
          <w:rStyle w:val="Emphasis"/>
          <w:rFonts w:cs="Arial"/>
        </w:rPr>
        <w:t>Plan for Port Phillip 2025–35</w:t>
      </w:r>
      <w:r w:rsidRPr="00683AC7">
        <w:rPr>
          <w:rFonts w:cs="Arial"/>
        </w:rPr>
        <w:t xml:space="preserve">, particularly Strategic Direction 4. </w:t>
      </w:r>
    </w:p>
    <w:p w14:paraId="7C4E3C6E" w14:textId="77777777" w:rsidR="00C33D6E" w:rsidRPr="00081B44" w:rsidRDefault="00C33D6E" w:rsidP="00081B44">
      <w:pPr>
        <w:pStyle w:val="Heading3"/>
      </w:pPr>
      <w:bookmarkStart w:id="2" w:name="_Toc210296852"/>
      <w:r w:rsidRPr="00081B44">
        <w:t>Definitions of Multiculturalism</w:t>
      </w:r>
      <w:bookmarkEnd w:id="2"/>
      <w:r w:rsidRPr="00081B44">
        <w:t xml:space="preserve"> </w:t>
      </w:r>
    </w:p>
    <w:p w14:paraId="607133C8" w14:textId="77777777" w:rsidR="00C33D6E" w:rsidRPr="00683AC7" w:rsidRDefault="00C33D6E" w:rsidP="00C33D6E">
      <w:pPr>
        <w:rPr>
          <w:rFonts w:cs="Arial"/>
        </w:rPr>
      </w:pPr>
      <w:r w:rsidRPr="00683AC7">
        <w:rPr>
          <w:rFonts w:cs="Arial"/>
        </w:rPr>
        <w:t>Multiculturalism in Australia is a commitment to an inclusive society that values cultural, linguistic, and religious diversity, grounded in shared democratic principles. The Victorian Government and the Multicultural Framework Review (2024) reinforce this by promoting equal opportunity, civic participation, and a dynamic, responsive model of multiculturalism that addresses systemic inequities and strengthens social cohesion.</w:t>
      </w:r>
    </w:p>
    <w:p w14:paraId="71DC682E" w14:textId="77777777" w:rsidR="00C33D6E" w:rsidRPr="00683AC7" w:rsidRDefault="00C33D6E" w:rsidP="00C33D6E">
      <w:pPr>
        <w:rPr>
          <w:rFonts w:cs="Arial"/>
        </w:rPr>
      </w:pPr>
      <w:r w:rsidRPr="00683AC7">
        <w:rPr>
          <w:rFonts w:cs="Arial"/>
        </w:rPr>
        <w:t xml:space="preserve">The term </w:t>
      </w:r>
      <w:r w:rsidRPr="00683AC7">
        <w:rPr>
          <w:rFonts w:cs="Arial"/>
          <w:i/>
          <w:iCs/>
        </w:rPr>
        <w:t>multiculturalism</w:t>
      </w:r>
      <w:r w:rsidRPr="00683AC7">
        <w:rPr>
          <w:rFonts w:cs="Arial"/>
        </w:rPr>
        <w:t xml:space="preserve"> is used in place of </w:t>
      </w:r>
      <w:r w:rsidRPr="00C33D6E">
        <w:rPr>
          <w:rFonts w:cs="Arial"/>
        </w:rPr>
        <w:t>culturally and linguistically diverse (CALD)</w:t>
      </w:r>
      <w:r w:rsidRPr="00683AC7">
        <w:rPr>
          <w:rFonts w:cs="Arial"/>
        </w:rPr>
        <w:t xml:space="preserve"> background to reflect a broader, more inclusive understanding of diversity that encompasses lived experiences, spirituality, and historical context. While CALD is a technical classification, multiculturalism is seen as a foundational and evolving aspect of Australian identity.</w:t>
      </w:r>
    </w:p>
    <w:p w14:paraId="2F959576" w14:textId="77777777" w:rsidR="00C33D6E" w:rsidRPr="00C33D6E" w:rsidRDefault="00C33D6E" w:rsidP="00081B44">
      <w:pPr>
        <w:pStyle w:val="Heading3"/>
      </w:pPr>
      <w:bookmarkStart w:id="3" w:name="_Toc210296853"/>
      <w:r w:rsidRPr="00C33D6E">
        <w:t>First Nations and Multiculturalism</w:t>
      </w:r>
      <w:bookmarkEnd w:id="3"/>
      <w:r w:rsidRPr="00C33D6E">
        <w:t xml:space="preserve"> </w:t>
      </w:r>
    </w:p>
    <w:p w14:paraId="1893A750" w14:textId="5A4C3AF6" w:rsidR="00C33D6E" w:rsidRPr="00683AC7" w:rsidRDefault="00C33D6E" w:rsidP="00C33D6E">
      <w:pPr>
        <w:rPr>
          <w:rFonts w:eastAsiaTheme="majorEastAsia" w:cs="Arial"/>
          <w:bCs/>
        </w:rPr>
      </w:pPr>
      <w:r w:rsidRPr="00DA7E3C">
        <w:rPr>
          <w:rFonts w:eastAsiaTheme="majorEastAsia" w:cstheme="majorBidi"/>
          <w:bCs/>
        </w:rPr>
        <w:t xml:space="preserve">Multiculturalism in Australia is also grounded in the enduring presence and cultures of First Nations peoples, whose sovereignty and histories span over 65,000 years. </w:t>
      </w:r>
    </w:p>
    <w:p w14:paraId="73865A90" w14:textId="77777777" w:rsidR="00C33D6E" w:rsidRDefault="00C33D6E" w:rsidP="00081B44">
      <w:pPr>
        <w:pStyle w:val="Heading3"/>
      </w:pPr>
      <w:bookmarkStart w:id="4" w:name="_Toc210296854"/>
      <w:r w:rsidRPr="00C33D6E">
        <w:t>Multiculturalism Must Confront Racism</w:t>
      </w:r>
      <w:bookmarkEnd w:id="4"/>
    </w:p>
    <w:p w14:paraId="769293F2" w14:textId="4BDC4E8E" w:rsidR="00C33D6E" w:rsidRPr="0034070A" w:rsidRDefault="00C33D6E" w:rsidP="0034070A">
      <w:pPr>
        <w:rPr>
          <w:rFonts w:cs="Arial"/>
        </w:rPr>
      </w:pPr>
      <w:r w:rsidRPr="00DA7E3C">
        <w:rPr>
          <w:rFonts w:eastAsiaTheme="majorEastAsia" w:cstheme="majorBidi"/>
          <w:bCs/>
        </w:rPr>
        <w:t xml:space="preserve">The term “multicultural” has often been criticised for implying social harmony, despite the ongoing reality of racism experienced by many Australians, particularly those from migrant, refugee, and </w:t>
      </w:r>
      <w:r w:rsidRPr="0034070A">
        <w:rPr>
          <w:rFonts w:cs="Arial"/>
        </w:rPr>
        <w:t xml:space="preserve">First Nations backgrounds. </w:t>
      </w:r>
    </w:p>
    <w:p w14:paraId="6AA8CAD0" w14:textId="77777777" w:rsidR="00C33D6E" w:rsidRDefault="00C33D6E" w:rsidP="00C33D6E">
      <w:pPr>
        <w:rPr>
          <w:rFonts w:eastAsiaTheme="majorEastAsia" w:cstheme="majorBidi"/>
          <w:bCs/>
        </w:rPr>
      </w:pPr>
      <w:r w:rsidRPr="0034070A">
        <w:rPr>
          <w:rFonts w:cs="Arial"/>
        </w:rPr>
        <w:t>As part of the development of the multicultural</w:t>
      </w:r>
      <w:r w:rsidRPr="00DA7E3C">
        <w:rPr>
          <w:rFonts w:eastAsiaTheme="majorEastAsia" w:cstheme="majorBidi"/>
          <w:bCs/>
        </w:rPr>
        <w:t xml:space="preserve"> strategy, the use and meaning of multicultural terminology will be critically examined, with an explicit acknowledgement of the complexities, tensions, and lived realities that shape Australia’s diverse communities</w:t>
      </w:r>
      <w:bookmarkStart w:id="5" w:name="_Toc206927883"/>
    </w:p>
    <w:p w14:paraId="2049EDB9" w14:textId="090046CD" w:rsidR="00C33D6E" w:rsidRPr="00683AC7" w:rsidRDefault="00C33D6E" w:rsidP="00081B44">
      <w:pPr>
        <w:pStyle w:val="Heading3"/>
      </w:pPr>
      <w:bookmarkStart w:id="6" w:name="_Toc210296855"/>
      <w:r w:rsidRPr="00683AC7">
        <w:t>Roles of Different Levels of Government in Multiculturalism</w:t>
      </w:r>
      <w:bookmarkEnd w:id="5"/>
      <w:bookmarkEnd w:id="6"/>
    </w:p>
    <w:p w14:paraId="4F31A288" w14:textId="77777777" w:rsidR="00C33D6E" w:rsidRPr="00AD3153" w:rsidRDefault="00C33D6E" w:rsidP="00C33D6E">
      <w:pPr>
        <w:spacing w:line="259" w:lineRule="auto"/>
        <w:rPr>
          <w:rFonts w:cs="Arial"/>
        </w:rPr>
      </w:pPr>
      <w:r w:rsidRPr="00AD3153">
        <w:rPr>
          <w:rFonts w:cs="Arial"/>
        </w:rPr>
        <w:t>Multiculturalism is a shared responsibility across federal, state, and local governments. Local councils play a frontline role in fostering inclusion through:</w:t>
      </w:r>
    </w:p>
    <w:p w14:paraId="3E350A75" w14:textId="77777777" w:rsidR="00C33D6E" w:rsidRPr="00AD3153" w:rsidRDefault="00C33D6E" w:rsidP="00C33D6E">
      <w:pPr>
        <w:numPr>
          <w:ilvl w:val="0"/>
          <w:numId w:val="13"/>
        </w:numPr>
        <w:spacing w:line="259" w:lineRule="auto"/>
        <w:rPr>
          <w:rFonts w:cs="Arial"/>
        </w:rPr>
      </w:pPr>
      <w:r w:rsidRPr="00AD3153">
        <w:rPr>
          <w:rFonts w:cs="Arial"/>
          <w:b/>
          <w:bCs/>
        </w:rPr>
        <w:t>Social policy</w:t>
      </w:r>
      <w:r w:rsidRPr="00AD3153">
        <w:rPr>
          <w:rFonts w:cs="Arial"/>
        </w:rPr>
        <w:t xml:space="preserve"> (e.g. multicultural action plans, anti-discrimination)</w:t>
      </w:r>
    </w:p>
    <w:p w14:paraId="13DEF62F" w14:textId="77777777" w:rsidR="00C33D6E" w:rsidRPr="00AD3153" w:rsidRDefault="00C33D6E" w:rsidP="00C33D6E">
      <w:pPr>
        <w:numPr>
          <w:ilvl w:val="0"/>
          <w:numId w:val="13"/>
        </w:numPr>
        <w:spacing w:line="259" w:lineRule="auto"/>
        <w:rPr>
          <w:rFonts w:cs="Arial"/>
        </w:rPr>
      </w:pPr>
      <w:r w:rsidRPr="00AD3153">
        <w:rPr>
          <w:rFonts w:cs="Arial"/>
          <w:b/>
          <w:bCs/>
        </w:rPr>
        <w:t>Community engagement</w:t>
      </w:r>
      <w:r w:rsidRPr="00AD3153">
        <w:rPr>
          <w:rFonts w:cs="Arial"/>
        </w:rPr>
        <w:t xml:space="preserve"> (e.g. festivals, advisory committees)</w:t>
      </w:r>
    </w:p>
    <w:p w14:paraId="6B972E15" w14:textId="77777777" w:rsidR="00C33D6E" w:rsidRPr="00AD3153" w:rsidRDefault="00C33D6E" w:rsidP="00C33D6E">
      <w:pPr>
        <w:numPr>
          <w:ilvl w:val="0"/>
          <w:numId w:val="13"/>
        </w:numPr>
        <w:spacing w:line="259" w:lineRule="auto"/>
        <w:rPr>
          <w:rFonts w:cs="Arial"/>
        </w:rPr>
      </w:pPr>
      <w:r w:rsidRPr="00AD3153">
        <w:rPr>
          <w:rFonts w:cs="Arial"/>
          <w:b/>
          <w:bCs/>
        </w:rPr>
        <w:t>Inclusive service delivery</w:t>
      </w:r>
      <w:r w:rsidRPr="00AD3153">
        <w:rPr>
          <w:rFonts w:cs="Arial"/>
        </w:rPr>
        <w:t xml:space="preserve"> (e.g. translation, culturally responsive services)</w:t>
      </w:r>
    </w:p>
    <w:p w14:paraId="21CFC0A2" w14:textId="77777777" w:rsidR="00C33D6E" w:rsidRPr="00AD3153" w:rsidRDefault="00C33D6E" w:rsidP="00C33D6E">
      <w:pPr>
        <w:numPr>
          <w:ilvl w:val="0"/>
          <w:numId w:val="13"/>
        </w:numPr>
        <w:spacing w:line="259" w:lineRule="auto"/>
        <w:rPr>
          <w:rFonts w:cs="Arial"/>
        </w:rPr>
      </w:pPr>
      <w:r w:rsidRPr="00AD3153">
        <w:rPr>
          <w:rFonts w:cs="Arial"/>
          <w:b/>
          <w:bCs/>
        </w:rPr>
        <w:t>Anti-racism initiatives</w:t>
      </w:r>
      <w:r w:rsidRPr="00AD3153">
        <w:rPr>
          <w:rFonts w:cs="Arial"/>
        </w:rPr>
        <w:t xml:space="preserve"> (e.g. campaigns, human rights promotion)</w:t>
      </w:r>
    </w:p>
    <w:p w14:paraId="3A1DDAFF" w14:textId="77777777" w:rsidR="00C33D6E" w:rsidRPr="00AD3153" w:rsidRDefault="00C33D6E" w:rsidP="00C33D6E">
      <w:pPr>
        <w:numPr>
          <w:ilvl w:val="0"/>
          <w:numId w:val="13"/>
        </w:numPr>
        <w:spacing w:line="259" w:lineRule="auto"/>
        <w:rPr>
          <w:rFonts w:cs="Arial"/>
        </w:rPr>
      </w:pPr>
      <w:r w:rsidRPr="00AD3153">
        <w:rPr>
          <w:rFonts w:cs="Arial"/>
          <w:b/>
          <w:bCs/>
        </w:rPr>
        <w:t>Collaboration</w:t>
      </w:r>
      <w:r w:rsidRPr="00AD3153">
        <w:rPr>
          <w:rFonts w:cs="Arial"/>
        </w:rPr>
        <w:t xml:space="preserve"> (e.g. partnerships with other governments and community organisations)</w:t>
      </w:r>
    </w:p>
    <w:p w14:paraId="266741CE" w14:textId="14C031FB" w:rsidR="00C33D6E" w:rsidRDefault="00C33D6E" w:rsidP="00C33D6E">
      <w:pPr>
        <w:numPr>
          <w:ilvl w:val="0"/>
          <w:numId w:val="13"/>
        </w:numPr>
        <w:spacing w:line="259" w:lineRule="auto"/>
        <w:rPr>
          <w:rFonts w:cs="Arial"/>
        </w:rPr>
      </w:pPr>
      <w:r w:rsidRPr="00AD3153">
        <w:rPr>
          <w:rFonts w:cs="Arial"/>
          <w:b/>
          <w:bCs/>
        </w:rPr>
        <w:t>Celebrating diversity</w:t>
      </w:r>
      <w:r w:rsidRPr="00AD3153">
        <w:rPr>
          <w:rFonts w:cs="Arial"/>
        </w:rPr>
        <w:t xml:space="preserve"> (e.g. intercultural events)</w:t>
      </w:r>
      <w:r>
        <w:rPr>
          <w:rFonts w:cs="Arial"/>
        </w:rPr>
        <w:t xml:space="preserve">. </w:t>
      </w:r>
    </w:p>
    <w:p w14:paraId="33A29F95" w14:textId="60463BA7" w:rsidR="00C33D6E" w:rsidRPr="00683AC7" w:rsidRDefault="00C33D6E" w:rsidP="00C33D6E">
      <w:pPr>
        <w:spacing w:line="259" w:lineRule="auto"/>
        <w:rPr>
          <w:rFonts w:cs="Arial"/>
        </w:rPr>
      </w:pPr>
      <w:r w:rsidRPr="00C33D6E">
        <w:rPr>
          <w:rFonts w:cs="Arial"/>
        </w:rPr>
        <w:lastRenderedPageBreak/>
        <w:t>The below table outlines the responsibilities of different levels of government in supporting multiculturalism and responding to social cohesion challenges.</w:t>
      </w:r>
    </w:p>
    <w:tbl>
      <w:tblPr>
        <w:tblW w:w="10081" w:type="dxa"/>
        <w:tblLook w:val="04A0" w:firstRow="1" w:lastRow="0" w:firstColumn="1" w:lastColumn="0" w:noHBand="0" w:noVBand="1"/>
      </w:tblPr>
      <w:tblGrid>
        <w:gridCol w:w="1556"/>
        <w:gridCol w:w="2689"/>
        <w:gridCol w:w="2233"/>
        <w:gridCol w:w="3603"/>
      </w:tblGrid>
      <w:tr w:rsidR="00C33D6E" w:rsidRPr="00683AC7" w14:paraId="5D19BDCA" w14:textId="77777777" w:rsidTr="00C33D6E">
        <w:trPr>
          <w:trHeight w:val="296"/>
        </w:trPr>
        <w:tc>
          <w:tcPr>
            <w:tcW w:w="1556" w:type="dxa"/>
            <w:tcBorders>
              <w:top w:val="single" w:sz="4" w:space="0" w:color="auto"/>
              <w:left w:val="single" w:sz="4" w:space="0" w:color="auto"/>
              <w:bottom w:val="single" w:sz="4" w:space="0" w:color="auto"/>
              <w:right w:val="single" w:sz="4" w:space="0" w:color="auto"/>
            </w:tcBorders>
            <w:shd w:val="clear" w:color="auto" w:fill="0D0D0D" w:themeFill="text1" w:themeFillTint="F2"/>
            <w:hideMark/>
          </w:tcPr>
          <w:p w14:paraId="62543528" w14:textId="77777777" w:rsidR="00C33D6E" w:rsidRPr="00C33D6E" w:rsidRDefault="00C33D6E" w:rsidP="00BD4710">
            <w:pPr>
              <w:spacing w:after="0" w:line="240" w:lineRule="auto"/>
              <w:rPr>
                <w:rFonts w:eastAsia="Times New Roman" w:cs="Arial"/>
                <w:b/>
                <w:bCs/>
                <w:color w:val="FFFFFF" w:themeColor="background1"/>
                <w:highlight w:val="black"/>
                <w:lang w:eastAsia="en-AU"/>
              </w:rPr>
            </w:pPr>
            <w:r w:rsidRPr="00C33D6E">
              <w:rPr>
                <w:rFonts w:eastAsia="Times New Roman" w:cs="Arial"/>
                <w:b/>
                <w:bCs/>
                <w:color w:val="FFFFFF" w:themeColor="background1"/>
                <w:highlight w:val="black"/>
                <w:lang w:eastAsia="en-AU"/>
              </w:rPr>
              <w:t>Category</w:t>
            </w:r>
          </w:p>
        </w:tc>
        <w:tc>
          <w:tcPr>
            <w:tcW w:w="2689" w:type="dxa"/>
            <w:tcBorders>
              <w:top w:val="single" w:sz="4" w:space="0" w:color="auto"/>
              <w:left w:val="nil"/>
              <w:bottom w:val="single" w:sz="4" w:space="0" w:color="auto"/>
              <w:right w:val="single" w:sz="4" w:space="0" w:color="auto"/>
            </w:tcBorders>
            <w:shd w:val="clear" w:color="auto" w:fill="0D0D0D" w:themeFill="text1" w:themeFillTint="F2"/>
            <w:hideMark/>
          </w:tcPr>
          <w:p w14:paraId="538817A5" w14:textId="77777777" w:rsidR="00C33D6E" w:rsidRPr="00C33D6E" w:rsidRDefault="00C33D6E" w:rsidP="00BD4710">
            <w:pPr>
              <w:spacing w:after="0" w:line="240" w:lineRule="auto"/>
              <w:rPr>
                <w:rFonts w:eastAsia="Times New Roman" w:cs="Arial"/>
                <w:b/>
                <w:bCs/>
                <w:color w:val="FFFFFF" w:themeColor="background1"/>
                <w:highlight w:val="black"/>
                <w:lang w:eastAsia="en-AU"/>
              </w:rPr>
            </w:pPr>
            <w:r w:rsidRPr="00C33D6E">
              <w:rPr>
                <w:rFonts w:eastAsia="Times New Roman" w:cs="Arial"/>
                <w:b/>
                <w:bCs/>
                <w:color w:val="FFFFFF" w:themeColor="background1"/>
                <w:highlight w:val="black"/>
                <w:lang w:eastAsia="en-AU"/>
              </w:rPr>
              <w:t>Federal</w:t>
            </w:r>
          </w:p>
        </w:tc>
        <w:tc>
          <w:tcPr>
            <w:tcW w:w="2233" w:type="dxa"/>
            <w:tcBorders>
              <w:top w:val="single" w:sz="4" w:space="0" w:color="auto"/>
              <w:left w:val="nil"/>
              <w:bottom w:val="single" w:sz="4" w:space="0" w:color="auto"/>
              <w:right w:val="single" w:sz="4" w:space="0" w:color="auto"/>
            </w:tcBorders>
            <w:shd w:val="clear" w:color="auto" w:fill="0D0D0D" w:themeFill="text1" w:themeFillTint="F2"/>
            <w:hideMark/>
          </w:tcPr>
          <w:p w14:paraId="27000629" w14:textId="77777777" w:rsidR="00C33D6E" w:rsidRPr="00C33D6E" w:rsidRDefault="00C33D6E" w:rsidP="00BD4710">
            <w:pPr>
              <w:spacing w:after="0" w:line="240" w:lineRule="auto"/>
              <w:rPr>
                <w:rFonts w:eastAsia="Times New Roman" w:cs="Arial"/>
                <w:b/>
                <w:bCs/>
                <w:color w:val="FFFFFF" w:themeColor="background1"/>
                <w:highlight w:val="black"/>
                <w:lang w:eastAsia="en-AU"/>
              </w:rPr>
            </w:pPr>
            <w:r w:rsidRPr="00C33D6E">
              <w:rPr>
                <w:rFonts w:eastAsia="Times New Roman" w:cs="Arial"/>
                <w:b/>
                <w:bCs/>
                <w:color w:val="FFFFFF" w:themeColor="background1"/>
                <w:highlight w:val="black"/>
                <w:lang w:eastAsia="en-AU"/>
              </w:rPr>
              <w:t>State</w:t>
            </w:r>
          </w:p>
        </w:tc>
        <w:tc>
          <w:tcPr>
            <w:tcW w:w="3603" w:type="dxa"/>
            <w:tcBorders>
              <w:top w:val="single" w:sz="4" w:space="0" w:color="auto"/>
              <w:left w:val="nil"/>
              <w:bottom w:val="single" w:sz="4" w:space="0" w:color="auto"/>
              <w:right w:val="single" w:sz="4" w:space="0" w:color="auto"/>
            </w:tcBorders>
            <w:shd w:val="clear" w:color="auto" w:fill="0D0D0D" w:themeFill="text1" w:themeFillTint="F2"/>
            <w:hideMark/>
          </w:tcPr>
          <w:p w14:paraId="46F917FA" w14:textId="77777777" w:rsidR="00C33D6E" w:rsidRPr="00C33D6E" w:rsidRDefault="00C33D6E" w:rsidP="00BD4710">
            <w:pPr>
              <w:spacing w:after="0" w:line="240" w:lineRule="auto"/>
              <w:rPr>
                <w:rFonts w:eastAsia="Times New Roman" w:cs="Arial"/>
                <w:b/>
                <w:bCs/>
                <w:color w:val="FFFFFF" w:themeColor="background1"/>
                <w:highlight w:val="black"/>
                <w:lang w:eastAsia="en-AU"/>
              </w:rPr>
            </w:pPr>
            <w:r w:rsidRPr="00C33D6E">
              <w:rPr>
                <w:rFonts w:eastAsia="Times New Roman" w:cs="Arial"/>
                <w:b/>
                <w:bCs/>
                <w:color w:val="FFFFFF" w:themeColor="background1"/>
                <w:highlight w:val="black"/>
                <w:lang w:eastAsia="en-AU"/>
              </w:rPr>
              <w:t>Local</w:t>
            </w:r>
          </w:p>
        </w:tc>
      </w:tr>
      <w:tr w:rsidR="00C33D6E" w:rsidRPr="00683AC7" w14:paraId="6EB94748" w14:textId="77777777" w:rsidTr="00BD4710">
        <w:trPr>
          <w:trHeight w:val="1481"/>
        </w:trPr>
        <w:tc>
          <w:tcPr>
            <w:tcW w:w="1556" w:type="dxa"/>
            <w:tcBorders>
              <w:top w:val="nil"/>
              <w:left w:val="single" w:sz="4" w:space="0" w:color="auto"/>
              <w:bottom w:val="single" w:sz="4" w:space="0" w:color="auto"/>
              <w:right w:val="single" w:sz="4" w:space="0" w:color="auto"/>
            </w:tcBorders>
            <w:hideMark/>
          </w:tcPr>
          <w:p w14:paraId="3F92E4C5"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Multicultural Policy &amp; Planning</w:t>
            </w:r>
          </w:p>
        </w:tc>
        <w:tc>
          <w:tcPr>
            <w:tcW w:w="2689" w:type="dxa"/>
            <w:tcBorders>
              <w:top w:val="nil"/>
              <w:left w:val="nil"/>
              <w:bottom w:val="single" w:sz="4" w:space="0" w:color="auto"/>
              <w:right w:val="single" w:sz="4" w:space="0" w:color="auto"/>
            </w:tcBorders>
            <w:hideMark/>
          </w:tcPr>
          <w:p w14:paraId="015F331C"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National multicultural frameworks and policies (e.g. Multicultural Access and Equity Policy, Multicultural Framework Review)</w:t>
            </w:r>
          </w:p>
        </w:tc>
        <w:tc>
          <w:tcPr>
            <w:tcW w:w="2233" w:type="dxa"/>
            <w:tcBorders>
              <w:top w:val="nil"/>
              <w:left w:val="nil"/>
              <w:bottom w:val="single" w:sz="4" w:space="0" w:color="auto"/>
              <w:right w:val="single" w:sz="4" w:space="0" w:color="auto"/>
            </w:tcBorders>
            <w:hideMark/>
          </w:tcPr>
          <w:p w14:paraId="3C386EF9"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Implementation of federal policies adapted to state contexts (e.g. Multicultural Victoria Act, Victoria’s Multicultural Review)</w:t>
            </w:r>
          </w:p>
        </w:tc>
        <w:tc>
          <w:tcPr>
            <w:tcW w:w="3603" w:type="dxa"/>
            <w:tcBorders>
              <w:top w:val="nil"/>
              <w:left w:val="nil"/>
              <w:bottom w:val="single" w:sz="4" w:space="0" w:color="auto"/>
              <w:right w:val="single" w:sz="4" w:space="0" w:color="auto"/>
            </w:tcBorders>
            <w:hideMark/>
          </w:tcPr>
          <w:p w14:paraId="5C0609F8" w14:textId="42E4FC01"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Local multicultural strategies, and community engagement initiatives</w:t>
            </w:r>
          </w:p>
        </w:tc>
      </w:tr>
      <w:tr w:rsidR="00C33D6E" w:rsidRPr="00683AC7" w14:paraId="791C3E52" w14:textId="77777777" w:rsidTr="00BD4710">
        <w:trPr>
          <w:trHeight w:val="1184"/>
        </w:trPr>
        <w:tc>
          <w:tcPr>
            <w:tcW w:w="1556" w:type="dxa"/>
            <w:tcBorders>
              <w:top w:val="nil"/>
              <w:left w:val="single" w:sz="4" w:space="0" w:color="auto"/>
              <w:bottom w:val="single" w:sz="4" w:space="0" w:color="auto"/>
              <w:right w:val="single" w:sz="4" w:space="0" w:color="auto"/>
            </w:tcBorders>
            <w:hideMark/>
          </w:tcPr>
          <w:p w14:paraId="54F08D57"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Immigration &amp; Citizenship</w:t>
            </w:r>
          </w:p>
        </w:tc>
        <w:tc>
          <w:tcPr>
            <w:tcW w:w="2689" w:type="dxa"/>
            <w:tcBorders>
              <w:top w:val="nil"/>
              <w:left w:val="nil"/>
              <w:bottom w:val="single" w:sz="4" w:space="0" w:color="auto"/>
              <w:right w:val="single" w:sz="4" w:space="0" w:color="auto"/>
            </w:tcBorders>
            <w:hideMark/>
          </w:tcPr>
          <w:p w14:paraId="2B6B29EF"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Immigration control, visa policy, citizenship eligibility and processing</w:t>
            </w:r>
          </w:p>
        </w:tc>
        <w:tc>
          <w:tcPr>
            <w:tcW w:w="2233" w:type="dxa"/>
            <w:tcBorders>
              <w:top w:val="nil"/>
              <w:left w:val="nil"/>
              <w:bottom w:val="single" w:sz="4" w:space="0" w:color="auto"/>
              <w:right w:val="single" w:sz="4" w:space="0" w:color="auto"/>
            </w:tcBorders>
            <w:hideMark/>
          </w:tcPr>
          <w:p w14:paraId="49347BCF"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Settlement support, citizenship education, coordination with federal programs</w:t>
            </w:r>
          </w:p>
        </w:tc>
        <w:tc>
          <w:tcPr>
            <w:tcW w:w="3603" w:type="dxa"/>
            <w:tcBorders>
              <w:top w:val="nil"/>
              <w:left w:val="nil"/>
              <w:bottom w:val="single" w:sz="4" w:space="0" w:color="auto"/>
              <w:right w:val="single" w:sz="4" w:space="0" w:color="auto"/>
            </w:tcBorders>
            <w:hideMark/>
          </w:tcPr>
          <w:p w14:paraId="7D7E80B3"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 xml:space="preserve">Hosting citizenship ceremonies, distributing multilingual welcome materials, community education. </w:t>
            </w:r>
          </w:p>
        </w:tc>
      </w:tr>
      <w:tr w:rsidR="00C33D6E" w:rsidRPr="00683AC7" w14:paraId="72A7BBEE" w14:textId="77777777" w:rsidTr="00BD4710">
        <w:trPr>
          <w:trHeight w:val="888"/>
        </w:trPr>
        <w:tc>
          <w:tcPr>
            <w:tcW w:w="1556" w:type="dxa"/>
            <w:tcBorders>
              <w:top w:val="nil"/>
              <w:left w:val="single" w:sz="4" w:space="0" w:color="auto"/>
              <w:bottom w:val="single" w:sz="4" w:space="0" w:color="auto"/>
              <w:right w:val="single" w:sz="4" w:space="0" w:color="auto"/>
            </w:tcBorders>
            <w:hideMark/>
          </w:tcPr>
          <w:p w14:paraId="4B8FD430"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Funding &amp; Investment</w:t>
            </w:r>
          </w:p>
        </w:tc>
        <w:tc>
          <w:tcPr>
            <w:tcW w:w="2689" w:type="dxa"/>
            <w:tcBorders>
              <w:top w:val="nil"/>
              <w:left w:val="nil"/>
              <w:bottom w:val="single" w:sz="4" w:space="0" w:color="auto"/>
              <w:right w:val="single" w:sz="4" w:space="0" w:color="auto"/>
            </w:tcBorders>
            <w:hideMark/>
          </w:tcPr>
          <w:p w14:paraId="67CC0DC7"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Settlement services, cultural diversity initiatives, community grants</w:t>
            </w:r>
          </w:p>
        </w:tc>
        <w:tc>
          <w:tcPr>
            <w:tcW w:w="2233" w:type="dxa"/>
            <w:tcBorders>
              <w:top w:val="nil"/>
              <w:left w:val="nil"/>
              <w:bottom w:val="single" w:sz="4" w:space="0" w:color="auto"/>
              <w:right w:val="single" w:sz="4" w:space="0" w:color="auto"/>
            </w:tcBorders>
            <w:hideMark/>
          </w:tcPr>
          <w:p w14:paraId="1A396B0E"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Community programs, multicultural commissions, infrastructure</w:t>
            </w:r>
          </w:p>
        </w:tc>
        <w:tc>
          <w:tcPr>
            <w:tcW w:w="3603" w:type="dxa"/>
            <w:tcBorders>
              <w:top w:val="nil"/>
              <w:left w:val="nil"/>
              <w:bottom w:val="single" w:sz="4" w:space="0" w:color="auto"/>
              <w:right w:val="single" w:sz="4" w:space="0" w:color="auto"/>
            </w:tcBorders>
            <w:hideMark/>
          </w:tcPr>
          <w:p w14:paraId="27CCB0CF"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Local grants, program delivery, infrastructure supporting inclusion</w:t>
            </w:r>
          </w:p>
        </w:tc>
      </w:tr>
      <w:tr w:rsidR="00C33D6E" w:rsidRPr="00683AC7" w14:paraId="66FDA452" w14:textId="77777777" w:rsidTr="00BD4710">
        <w:trPr>
          <w:trHeight w:val="888"/>
        </w:trPr>
        <w:tc>
          <w:tcPr>
            <w:tcW w:w="1556" w:type="dxa"/>
            <w:tcBorders>
              <w:top w:val="nil"/>
              <w:left w:val="single" w:sz="4" w:space="0" w:color="auto"/>
              <w:bottom w:val="single" w:sz="4" w:space="0" w:color="auto"/>
              <w:right w:val="single" w:sz="4" w:space="0" w:color="auto"/>
            </w:tcBorders>
            <w:hideMark/>
          </w:tcPr>
          <w:p w14:paraId="27E18549"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Service Delivery</w:t>
            </w:r>
          </w:p>
        </w:tc>
        <w:tc>
          <w:tcPr>
            <w:tcW w:w="2689" w:type="dxa"/>
            <w:tcBorders>
              <w:top w:val="nil"/>
              <w:left w:val="nil"/>
              <w:bottom w:val="single" w:sz="4" w:space="0" w:color="auto"/>
              <w:right w:val="single" w:sz="4" w:space="0" w:color="auto"/>
            </w:tcBorders>
            <w:hideMark/>
          </w:tcPr>
          <w:p w14:paraId="11C303AF"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National Settlement Framework, immigration services</w:t>
            </w:r>
          </w:p>
        </w:tc>
        <w:tc>
          <w:tcPr>
            <w:tcW w:w="2233" w:type="dxa"/>
            <w:tcBorders>
              <w:top w:val="nil"/>
              <w:left w:val="nil"/>
              <w:bottom w:val="single" w:sz="4" w:space="0" w:color="auto"/>
              <w:right w:val="single" w:sz="4" w:space="0" w:color="auto"/>
            </w:tcBorders>
            <w:hideMark/>
          </w:tcPr>
          <w:p w14:paraId="017112F7"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Education, health, social support services</w:t>
            </w:r>
          </w:p>
        </w:tc>
        <w:tc>
          <w:tcPr>
            <w:tcW w:w="3603" w:type="dxa"/>
            <w:tcBorders>
              <w:top w:val="nil"/>
              <w:left w:val="nil"/>
              <w:bottom w:val="single" w:sz="4" w:space="0" w:color="auto"/>
              <w:right w:val="single" w:sz="4" w:space="0" w:color="auto"/>
            </w:tcBorders>
            <w:hideMark/>
          </w:tcPr>
          <w:p w14:paraId="69F13EA8"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Libraries, community centres, outreach programs, support for multicultural seniors and public housing tenants</w:t>
            </w:r>
          </w:p>
        </w:tc>
      </w:tr>
      <w:tr w:rsidR="00C33D6E" w:rsidRPr="00683AC7" w14:paraId="4345A8B4" w14:textId="77777777" w:rsidTr="00BD4710">
        <w:trPr>
          <w:trHeight w:val="888"/>
        </w:trPr>
        <w:tc>
          <w:tcPr>
            <w:tcW w:w="1556" w:type="dxa"/>
            <w:tcBorders>
              <w:top w:val="nil"/>
              <w:left w:val="single" w:sz="4" w:space="0" w:color="auto"/>
              <w:bottom w:val="single" w:sz="4" w:space="0" w:color="auto"/>
              <w:right w:val="single" w:sz="4" w:space="0" w:color="auto"/>
            </w:tcBorders>
            <w:hideMark/>
          </w:tcPr>
          <w:p w14:paraId="2B95DBAC"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Community Engagement &amp; Harmony</w:t>
            </w:r>
          </w:p>
        </w:tc>
        <w:tc>
          <w:tcPr>
            <w:tcW w:w="2689" w:type="dxa"/>
            <w:tcBorders>
              <w:top w:val="nil"/>
              <w:left w:val="nil"/>
              <w:bottom w:val="single" w:sz="4" w:space="0" w:color="auto"/>
              <w:right w:val="single" w:sz="4" w:space="0" w:color="auto"/>
            </w:tcBorders>
            <w:hideMark/>
          </w:tcPr>
          <w:p w14:paraId="2F190EF5"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Advice via Australian Multicultural Council, national research</w:t>
            </w:r>
          </w:p>
        </w:tc>
        <w:tc>
          <w:tcPr>
            <w:tcW w:w="2233" w:type="dxa"/>
            <w:tcBorders>
              <w:top w:val="nil"/>
              <w:left w:val="nil"/>
              <w:bottom w:val="single" w:sz="4" w:space="0" w:color="auto"/>
              <w:right w:val="single" w:sz="4" w:space="0" w:color="auto"/>
            </w:tcBorders>
            <w:hideMark/>
          </w:tcPr>
          <w:p w14:paraId="6F5F8CB1"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State multicultural councils, intercultural programs</w:t>
            </w:r>
          </w:p>
        </w:tc>
        <w:tc>
          <w:tcPr>
            <w:tcW w:w="3603" w:type="dxa"/>
            <w:tcBorders>
              <w:top w:val="nil"/>
              <w:left w:val="nil"/>
              <w:bottom w:val="single" w:sz="4" w:space="0" w:color="auto"/>
              <w:right w:val="single" w:sz="4" w:space="0" w:color="auto"/>
            </w:tcBorders>
            <w:hideMark/>
          </w:tcPr>
          <w:p w14:paraId="3FA54B47"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Cultural celebrations, anti-racism campaigns, advisory committees, and partnerships with local organisations</w:t>
            </w:r>
          </w:p>
        </w:tc>
      </w:tr>
      <w:tr w:rsidR="00C33D6E" w:rsidRPr="00683AC7" w14:paraId="7952C99B" w14:textId="77777777" w:rsidTr="00BD4710">
        <w:trPr>
          <w:trHeight w:val="888"/>
        </w:trPr>
        <w:tc>
          <w:tcPr>
            <w:tcW w:w="1556" w:type="dxa"/>
            <w:tcBorders>
              <w:top w:val="nil"/>
              <w:left w:val="single" w:sz="4" w:space="0" w:color="auto"/>
              <w:bottom w:val="single" w:sz="4" w:space="0" w:color="auto"/>
              <w:right w:val="single" w:sz="4" w:space="0" w:color="auto"/>
            </w:tcBorders>
            <w:hideMark/>
          </w:tcPr>
          <w:p w14:paraId="6265C6EC"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Social Cohesion &amp; Anti-Racism</w:t>
            </w:r>
          </w:p>
        </w:tc>
        <w:tc>
          <w:tcPr>
            <w:tcW w:w="2689" w:type="dxa"/>
            <w:tcBorders>
              <w:top w:val="nil"/>
              <w:left w:val="nil"/>
              <w:bottom w:val="single" w:sz="4" w:space="0" w:color="auto"/>
              <w:right w:val="single" w:sz="4" w:space="0" w:color="auto"/>
            </w:tcBorders>
            <w:hideMark/>
          </w:tcPr>
          <w:p w14:paraId="758D3B26" w14:textId="2D7F67CE"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National Anti-Racism Framework</w:t>
            </w:r>
          </w:p>
        </w:tc>
        <w:tc>
          <w:tcPr>
            <w:tcW w:w="2233" w:type="dxa"/>
            <w:tcBorders>
              <w:top w:val="nil"/>
              <w:left w:val="nil"/>
              <w:bottom w:val="single" w:sz="4" w:space="0" w:color="auto"/>
              <w:right w:val="single" w:sz="4" w:space="0" w:color="auto"/>
            </w:tcBorders>
            <w:hideMark/>
          </w:tcPr>
          <w:p w14:paraId="462324D4"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Victoria’s Anti-Racism Strategy, Anti-Vilification and Social Cohesion Bill</w:t>
            </w:r>
          </w:p>
        </w:tc>
        <w:tc>
          <w:tcPr>
            <w:tcW w:w="3603" w:type="dxa"/>
            <w:tcBorders>
              <w:top w:val="nil"/>
              <w:left w:val="nil"/>
              <w:bottom w:val="single" w:sz="4" w:space="0" w:color="auto"/>
              <w:right w:val="single" w:sz="4" w:space="0" w:color="auto"/>
            </w:tcBorders>
            <w:hideMark/>
          </w:tcPr>
          <w:p w14:paraId="4D48B4F4" w14:textId="77777777" w:rsidR="00C33D6E" w:rsidRPr="00683AC7" w:rsidRDefault="00C33D6E" w:rsidP="00BD4710">
            <w:pPr>
              <w:spacing w:after="0" w:line="240" w:lineRule="auto"/>
              <w:rPr>
                <w:rFonts w:eastAsia="Times New Roman" w:cs="Arial"/>
                <w:color w:val="000000"/>
                <w:lang w:eastAsia="en-AU"/>
              </w:rPr>
            </w:pPr>
            <w:r w:rsidRPr="00683AC7">
              <w:rPr>
                <w:rFonts w:eastAsia="Times New Roman" w:cs="Arial"/>
                <w:color w:val="000000"/>
                <w:lang w:eastAsia="en-AU"/>
              </w:rPr>
              <w:t>Local anti-racism strategies, community-led initiatives, support for reporting and education</w:t>
            </w:r>
          </w:p>
        </w:tc>
      </w:tr>
    </w:tbl>
    <w:p w14:paraId="2F2D97A2" w14:textId="1355A781" w:rsidR="00C33D6E" w:rsidRDefault="00C33D6E" w:rsidP="00C33D6E">
      <w:pPr>
        <w:pStyle w:val="Heading2"/>
      </w:pPr>
      <w:bookmarkStart w:id="7" w:name="_Toc210296856"/>
      <w:r w:rsidRPr="00683AC7">
        <w:t>City of Port Phillip background</w:t>
      </w:r>
      <w:bookmarkEnd w:id="7"/>
      <w:r w:rsidRPr="00683AC7">
        <w:t xml:space="preserve"> </w:t>
      </w:r>
    </w:p>
    <w:p w14:paraId="3A4FA417" w14:textId="129910F1" w:rsidR="00081B44" w:rsidRPr="00081B44" w:rsidRDefault="00081B44" w:rsidP="00081B44">
      <w:pPr>
        <w:pStyle w:val="Heading3"/>
      </w:pPr>
      <w:bookmarkStart w:id="8" w:name="_Toc210296857"/>
      <w:r>
        <w:t>Historical background</w:t>
      </w:r>
      <w:bookmarkEnd w:id="8"/>
      <w:r>
        <w:t xml:space="preserve"> </w:t>
      </w:r>
    </w:p>
    <w:p w14:paraId="031EDEC6" w14:textId="77777777" w:rsidR="00C33D6E" w:rsidRPr="00AD3153" w:rsidRDefault="00C33D6E" w:rsidP="00C33D6E">
      <w:pPr>
        <w:spacing w:line="259" w:lineRule="auto"/>
        <w:rPr>
          <w:rFonts w:cs="Arial"/>
        </w:rPr>
      </w:pPr>
      <w:r w:rsidRPr="00AD3153">
        <w:rPr>
          <w:rFonts w:cs="Arial"/>
        </w:rPr>
        <w:t>The City of Port Phillip is one of Victoria’s most culturally rich and diverse municipalities, shaped by a long history of migration beginning with First Nations peoples. Station Pier in Port Melbourne, opened in 1854 and rebuilt in 1930, was a major gateway for post-WWII migrants. Greek communities settled in Port Melbourne, while Jewish refugees found a home in St Kilda</w:t>
      </w:r>
      <w:r w:rsidRPr="00683AC7">
        <w:rPr>
          <w:rFonts w:cs="Arial"/>
        </w:rPr>
        <w:t xml:space="preserve"> </w:t>
      </w:r>
      <w:r w:rsidRPr="00AD3153">
        <w:rPr>
          <w:rFonts w:cs="Arial"/>
        </w:rPr>
        <w:t>both contributing significantly to the city’s cultural fabric. Today, the city’s identity reflects both long-established migrant communities and newer arrivals.</w:t>
      </w:r>
    </w:p>
    <w:p w14:paraId="5254F8E4" w14:textId="77777777" w:rsidR="00C33D6E" w:rsidRPr="00AD3153" w:rsidRDefault="00C33D6E" w:rsidP="00C33D6E">
      <w:pPr>
        <w:spacing w:line="259" w:lineRule="auto"/>
        <w:rPr>
          <w:rFonts w:cs="Arial"/>
        </w:rPr>
      </w:pPr>
      <w:r w:rsidRPr="00AD3153">
        <w:rPr>
          <w:rFonts w:cs="Arial"/>
        </w:rPr>
        <w:t>Over the past three decades, Council has actively supported multicultural and multifaith communities through policy leadership, advocacy, and partnerships. Key milestones include:</w:t>
      </w:r>
    </w:p>
    <w:p w14:paraId="20DD2E0E" w14:textId="77777777" w:rsidR="00C33D6E" w:rsidRPr="00AD3153" w:rsidRDefault="00C33D6E" w:rsidP="00C33D6E">
      <w:pPr>
        <w:numPr>
          <w:ilvl w:val="0"/>
          <w:numId w:val="14"/>
        </w:numPr>
        <w:spacing w:line="259" w:lineRule="auto"/>
        <w:rPr>
          <w:rFonts w:cs="Arial"/>
        </w:rPr>
      </w:pPr>
      <w:r w:rsidRPr="00AD3153">
        <w:rPr>
          <w:rFonts w:cs="Arial"/>
          <w:b/>
          <w:bCs/>
        </w:rPr>
        <w:t>1995–2006</w:t>
      </w:r>
      <w:r w:rsidRPr="00AD3153">
        <w:rPr>
          <w:rFonts w:cs="Arial"/>
        </w:rPr>
        <w:t>: Formation of the Multicultural Advisory Committee, declaration as a Refugee Welcome Zone, and adoption of a Statement of Commitment to Multiculturalism.</w:t>
      </w:r>
    </w:p>
    <w:p w14:paraId="603C96CA" w14:textId="0DE1B511" w:rsidR="00C33D6E" w:rsidRPr="00AD3153" w:rsidRDefault="00C33D6E" w:rsidP="00C33D6E">
      <w:pPr>
        <w:numPr>
          <w:ilvl w:val="0"/>
          <w:numId w:val="14"/>
        </w:numPr>
        <w:spacing w:line="259" w:lineRule="auto"/>
        <w:rPr>
          <w:rFonts w:cs="Arial"/>
        </w:rPr>
      </w:pPr>
      <w:r w:rsidRPr="00AD3153">
        <w:rPr>
          <w:rFonts w:cs="Arial"/>
          <w:b/>
          <w:bCs/>
        </w:rPr>
        <w:lastRenderedPageBreak/>
        <w:t>2007–2014</w:t>
      </w:r>
      <w:r w:rsidRPr="00AD3153">
        <w:rPr>
          <w:rFonts w:cs="Arial"/>
        </w:rPr>
        <w:t>: Establishment of the Port Phillip Multifaith Network, endorsement of strategic frameworks, and participation in national anti-racism</w:t>
      </w:r>
      <w:r>
        <w:rPr>
          <w:rFonts w:cs="Arial"/>
        </w:rPr>
        <w:t>.</w:t>
      </w:r>
    </w:p>
    <w:p w14:paraId="0F71BD12" w14:textId="77777777" w:rsidR="00C33D6E" w:rsidRPr="00AD3153" w:rsidRDefault="00C33D6E" w:rsidP="00C33D6E">
      <w:pPr>
        <w:numPr>
          <w:ilvl w:val="0"/>
          <w:numId w:val="14"/>
        </w:numPr>
        <w:spacing w:line="259" w:lineRule="auto"/>
        <w:rPr>
          <w:rFonts w:cs="Arial"/>
        </w:rPr>
      </w:pPr>
      <w:r w:rsidRPr="00AD3153">
        <w:rPr>
          <w:rFonts w:cs="Arial"/>
          <w:b/>
          <w:bCs/>
        </w:rPr>
        <w:t>2018–2024</w:t>
      </w:r>
      <w:r w:rsidRPr="00AD3153">
        <w:rPr>
          <w:rFonts w:cs="Arial"/>
        </w:rPr>
        <w:t>: Reaffirmation of refugee support, joining national inclusion networks, creation of outreach roles during COVID-19, and solidarity actions with faith communities.</w:t>
      </w:r>
    </w:p>
    <w:p w14:paraId="196F0E6B" w14:textId="77777777" w:rsidR="00C33D6E" w:rsidRPr="00683AC7" w:rsidRDefault="00C33D6E" w:rsidP="00C33D6E">
      <w:pPr>
        <w:rPr>
          <w:rFonts w:cs="Arial"/>
        </w:rPr>
      </w:pPr>
      <w:r w:rsidRPr="00AD3153">
        <w:rPr>
          <w:rFonts w:cs="Arial"/>
        </w:rPr>
        <w:t>Council’s multicultural work has been embedded within integrated strategic documents such as the Council Plan and the Municipal Public Health and Wellbeing Plan, reflecting a holistic approach to diversity, equity, and inclusion.</w:t>
      </w:r>
    </w:p>
    <w:p w14:paraId="5488DF29" w14:textId="5FAC0516" w:rsidR="00C33D6E" w:rsidRPr="00CC49B7" w:rsidRDefault="00C33D6E" w:rsidP="00CC49B7">
      <w:pPr>
        <w:pStyle w:val="Heading3"/>
      </w:pPr>
      <w:bookmarkStart w:id="9" w:name="_Toc210296858"/>
      <w:r w:rsidRPr="00CC49B7">
        <w:t>Current Council initiatives that support multiculturalism</w:t>
      </w:r>
      <w:bookmarkEnd w:id="9"/>
      <w:r w:rsidRPr="00CC49B7">
        <w:t xml:space="preserve"> </w:t>
      </w:r>
    </w:p>
    <w:p w14:paraId="21E5FBE4" w14:textId="31E026FF" w:rsidR="00C33D6E" w:rsidRDefault="00C33D6E" w:rsidP="00C33D6E">
      <w:pPr>
        <w:rPr>
          <w:rFonts w:cs="Arial"/>
        </w:rPr>
      </w:pPr>
      <w:r w:rsidRPr="00683AC7">
        <w:rPr>
          <w:rFonts w:cs="Arial"/>
        </w:rPr>
        <w:t xml:space="preserve">The City of Port Phillip delivers a wide range of initiatives that support multicultural communities, promote inclusion, and foster intercultural understanding. These efforts span partnerships, cultural events, language access, grants, and targeted support for older resident. </w:t>
      </w:r>
    </w:p>
    <w:p w14:paraId="10489DCC" w14:textId="1DD65198" w:rsidR="00C33D6E" w:rsidRDefault="00C33D6E" w:rsidP="00C33D6E">
      <w:pPr>
        <w:spacing w:after="0" w:line="240" w:lineRule="auto"/>
      </w:pPr>
      <w:r w:rsidRPr="009847DD">
        <w:t>The following table outlines key categories and initiatives, highlighting Council’s commitment to equity, belonging, and meaningful engagement with its multicultural residents.</w:t>
      </w:r>
      <w:r>
        <w:t xml:space="preserve"> </w:t>
      </w:r>
    </w:p>
    <w:p w14:paraId="561EB0F3" w14:textId="77777777" w:rsidR="00C33D6E" w:rsidRPr="00C33D6E" w:rsidRDefault="00C33D6E" w:rsidP="00C33D6E">
      <w:pPr>
        <w:spacing w:after="0" w:line="240" w:lineRule="auto"/>
      </w:pPr>
    </w:p>
    <w:tbl>
      <w:tblPr>
        <w:tblStyle w:val="TableGrid"/>
        <w:tblW w:w="0" w:type="auto"/>
        <w:tblLook w:val="04A0" w:firstRow="1" w:lastRow="0" w:firstColumn="1" w:lastColumn="0" w:noHBand="0" w:noVBand="1"/>
      </w:tblPr>
      <w:tblGrid>
        <w:gridCol w:w="2314"/>
        <w:gridCol w:w="7314"/>
      </w:tblGrid>
      <w:tr w:rsidR="00C33D6E" w:rsidRPr="000563AA" w14:paraId="6DB9B474" w14:textId="77777777" w:rsidTr="00C33D6E">
        <w:trPr>
          <w:trHeight w:val="300"/>
        </w:trPr>
        <w:tc>
          <w:tcPr>
            <w:tcW w:w="2620" w:type="dxa"/>
            <w:shd w:val="clear" w:color="auto" w:fill="0D0D0D" w:themeFill="text1" w:themeFillTint="F2"/>
            <w:hideMark/>
          </w:tcPr>
          <w:p w14:paraId="0EFD250F" w14:textId="77777777" w:rsidR="00C33D6E" w:rsidRPr="000563AA" w:rsidRDefault="00C33D6E" w:rsidP="00BD4710">
            <w:pPr>
              <w:spacing w:after="160" w:line="259" w:lineRule="auto"/>
              <w:rPr>
                <w:rFonts w:cs="Arial"/>
                <w:b/>
                <w:bCs/>
                <w:color w:val="FFFFFF" w:themeColor="background1"/>
              </w:rPr>
            </w:pPr>
            <w:r w:rsidRPr="000563AA">
              <w:rPr>
                <w:rFonts w:cs="Arial"/>
                <w:b/>
                <w:bCs/>
                <w:color w:val="FFFFFF" w:themeColor="background1"/>
              </w:rPr>
              <w:t>Area</w:t>
            </w:r>
          </w:p>
        </w:tc>
        <w:tc>
          <w:tcPr>
            <w:tcW w:w="9340" w:type="dxa"/>
            <w:shd w:val="clear" w:color="auto" w:fill="0D0D0D" w:themeFill="text1" w:themeFillTint="F2"/>
            <w:hideMark/>
          </w:tcPr>
          <w:p w14:paraId="20837204" w14:textId="77777777" w:rsidR="00C33D6E" w:rsidRPr="000563AA" w:rsidRDefault="00C33D6E" w:rsidP="00BD4710">
            <w:pPr>
              <w:spacing w:after="160" w:line="259" w:lineRule="auto"/>
              <w:rPr>
                <w:rFonts w:cs="Arial"/>
                <w:b/>
                <w:bCs/>
                <w:color w:val="FFFFFF" w:themeColor="background1"/>
              </w:rPr>
            </w:pPr>
            <w:r w:rsidRPr="000563AA">
              <w:rPr>
                <w:rFonts w:cs="Arial"/>
                <w:b/>
                <w:bCs/>
                <w:color w:val="FFFFFF" w:themeColor="background1"/>
              </w:rPr>
              <w:t>Initiatives</w:t>
            </w:r>
          </w:p>
        </w:tc>
      </w:tr>
      <w:tr w:rsidR="00C33D6E" w:rsidRPr="000563AA" w14:paraId="130E476E" w14:textId="77777777" w:rsidTr="00BD4710">
        <w:trPr>
          <w:trHeight w:val="300"/>
        </w:trPr>
        <w:tc>
          <w:tcPr>
            <w:tcW w:w="2620" w:type="dxa"/>
            <w:hideMark/>
          </w:tcPr>
          <w:p w14:paraId="084CBE67" w14:textId="77777777" w:rsidR="00C33D6E" w:rsidRPr="000563AA" w:rsidRDefault="00C33D6E" w:rsidP="00BD4710">
            <w:pPr>
              <w:spacing w:after="160" w:line="259" w:lineRule="auto"/>
              <w:rPr>
                <w:rFonts w:cs="Arial"/>
              </w:rPr>
            </w:pPr>
            <w:r w:rsidRPr="000563AA">
              <w:rPr>
                <w:rFonts w:cs="Arial"/>
              </w:rPr>
              <w:t>Partnerships &amp; Networks</w:t>
            </w:r>
          </w:p>
        </w:tc>
        <w:tc>
          <w:tcPr>
            <w:tcW w:w="9340" w:type="dxa"/>
            <w:hideMark/>
          </w:tcPr>
          <w:p w14:paraId="03313D6E" w14:textId="5B97C29E" w:rsidR="00C33D6E" w:rsidRPr="000563AA" w:rsidRDefault="00C33D6E" w:rsidP="00BD4710">
            <w:pPr>
              <w:spacing w:after="160" w:line="259" w:lineRule="auto"/>
              <w:rPr>
                <w:rFonts w:cs="Arial"/>
              </w:rPr>
            </w:pPr>
            <w:r w:rsidRPr="000563AA">
              <w:rPr>
                <w:rFonts w:cs="Arial"/>
              </w:rPr>
              <w:t>Multifaith Network (50+ leaders), I</w:t>
            </w:r>
            <w:r>
              <w:rPr>
                <w:rFonts w:cs="Arial"/>
              </w:rPr>
              <w:t>nner South Multicultural Network</w:t>
            </w:r>
            <w:r w:rsidRPr="000563AA">
              <w:rPr>
                <w:rFonts w:cs="Arial"/>
              </w:rPr>
              <w:t xml:space="preserve"> (90 members), Advisory Committee (under review)</w:t>
            </w:r>
          </w:p>
        </w:tc>
      </w:tr>
      <w:tr w:rsidR="00C33D6E" w:rsidRPr="000563AA" w14:paraId="25A3D00F" w14:textId="77777777" w:rsidTr="00BD4710">
        <w:trPr>
          <w:trHeight w:val="300"/>
        </w:trPr>
        <w:tc>
          <w:tcPr>
            <w:tcW w:w="2620" w:type="dxa"/>
            <w:hideMark/>
          </w:tcPr>
          <w:p w14:paraId="25D70FB8" w14:textId="77777777" w:rsidR="00C33D6E" w:rsidRPr="000563AA" w:rsidRDefault="00C33D6E" w:rsidP="00BD4710">
            <w:pPr>
              <w:spacing w:after="160" w:line="259" w:lineRule="auto"/>
              <w:rPr>
                <w:rFonts w:cs="Arial"/>
              </w:rPr>
            </w:pPr>
            <w:r w:rsidRPr="000563AA">
              <w:rPr>
                <w:rFonts w:cs="Arial"/>
              </w:rPr>
              <w:t>Support for Seniors</w:t>
            </w:r>
          </w:p>
        </w:tc>
        <w:tc>
          <w:tcPr>
            <w:tcW w:w="9340" w:type="dxa"/>
            <w:hideMark/>
          </w:tcPr>
          <w:p w14:paraId="4682DEA2" w14:textId="77777777" w:rsidR="00C33D6E" w:rsidRPr="000563AA" w:rsidRDefault="00C33D6E" w:rsidP="00BD4710">
            <w:pPr>
              <w:spacing w:after="160" w:line="259" w:lineRule="auto"/>
              <w:rPr>
                <w:rFonts w:cs="Arial"/>
              </w:rPr>
            </w:pPr>
            <w:r w:rsidRPr="000563AA">
              <w:rPr>
                <w:rFonts w:cs="Arial"/>
              </w:rPr>
              <w:t>Grants for wellbeing, free/subsidised venues for multicultural senior groups</w:t>
            </w:r>
          </w:p>
        </w:tc>
      </w:tr>
      <w:tr w:rsidR="00C33D6E" w:rsidRPr="000563AA" w14:paraId="31C08E67" w14:textId="77777777" w:rsidTr="00BD4710">
        <w:trPr>
          <w:trHeight w:val="300"/>
        </w:trPr>
        <w:tc>
          <w:tcPr>
            <w:tcW w:w="2620" w:type="dxa"/>
            <w:hideMark/>
          </w:tcPr>
          <w:p w14:paraId="187195CF" w14:textId="77777777" w:rsidR="00C33D6E" w:rsidRPr="000563AA" w:rsidRDefault="00C33D6E" w:rsidP="00BD4710">
            <w:pPr>
              <w:spacing w:after="160" w:line="259" w:lineRule="auto"/>
              <w:rPr>
                <w:rFonts w:cs="Arial"/>
              </w:rPr>
            </w:pPr>
            <w:r w:rsidRPr="000563AA">
              <w:rPr>
                <w:rFonts w:cs="Arial"/>
              </w:rPr>
              <w:t>Cultural Events</w:t>
            </w:r>
          </w:p>
        </w:tc>
        <w:tc>
          <w:tcPr>
            <w:tcW w:w="9340" w:type="dxa"/>
            <w:hideMark/>
          </w:tcPr>
          <w:p w14:paraId="588CEF2E" w14:textId="77777777" w:rsidR="00C33D6E" w:rsidRPr="000563AA" w:rsidRDefault="00C33D6E" w:rsidP="00BD4710">
            <w:pPr>
              <w:spacing w:after="160" w:line="259" w:lineRule="auto"/>
              <w:rPr>
                <w:rFonts w:cs="Arial"/>
              </w:rPr>
            </w:pPr>
            <w:r w:rsidRPr="000563AA">
              <w:rPr>
                <w:rFonts w:cs="Arial"/>
              </w:rPr>
              <w:t>Cultural Diversity Week, Refugee Week</w:t>
            </w:r>
          </w:p>
        </w:tc>
      </w:tr>
      <w:tr w:rsidR="00C33D6E" w:rsidRPr="000563AA" w14:paraId="495812D6" w14:textId="77777777" w:rsidTr="00BD4710">
        <w:trPr>
          <w:trHeight w:val="300"/>
        </w:trPr>
        <w:tc>
          <w:tcPr>
            <w:tcW w:w="2620" w:type="dxa"/>
            <w:hideMark/>
          </w:tcPr>
          <w:p w14:paraId="4323E554" w14:textId="77777777" w:rsidR="00C33D6E" w:rsidRPr="000563AA" w:rsidRDefault="00C33D6E" w:rsidP="00BD4710">
            <w:pPr>
              <w:spacing w:after="160" w:line="259" w:lineRule="auto"/>
              <w:rPr>
                <w:rFonts w:cs="Arial"/>
              </w:rPr>
            </w:pPr>
            <w:r w:rsidRPr="000563AA">
              <w:rPr>
                <w:rFonts w:cs="Arial"/>
              </w:rPr>
              <w:t>Welcome &amp; Inclusion</w:t>
            </w:r>
          </w:p>
        </w:tc>
        <w:tc>
          <w:tcPr>
            <w:tcW w:w="9340" w:type="dxa"/>
            <w:hideMark/>
          </w:tcPr>
          <w:p w14:paraId="53218E2C" w14:textId="77777777" w:rsidR="00C33D6E" w:rsidRPr="000563AA" w:rsidRDefault="00C33D6E" w:rsidP="00BD4710">
            <w:pPr>
              <w:spacing w:after="160" w:line="259" w:lineRule="auto"/>
              <w:rPr>
                <w:rFonts w:cs="Arial"/>
              </w:rPr>
            </w:pPr>
            <w:r w:rsidRPr="000563AA">
              <w:rPr>
                <w:rFonts w:cs="Arial"/>
              </w:rPr>
              <w:t>Multilingual welcome postcards, new resident directory</w:t>
            </w:r>
          </w:p>
        </w:tc>
      </w:tr>
      <w:tr w:rsidR="00C33D6E" w:rsidRPr="000563AA" w14:paraId="46BD4887" w14:textId="77777777" w:rsidTr="00BD4710">
        <w:trPr>
          <w:trHeight w:val="300"/>
        </w:trPr>
        <w:tc>
          <w:tcPr>
            <w:tcW w:w="2620" w:type="dxa"/>
            <w:hideMark/>
          </w:tcPr>
          <w:p w14:paraId="52D78850" w14:textId="77777777" w:rsidR="00C33D6E" w:rsidRPr="000563AA" w:rsidRDefault="00C33D6E" w:rsidP="00BD4710">
            <w:pPr>
              <w:spacing w:after="160" w:line="259" w:lineRule="auto"/>
              <w:rPr>
                <w:rFonts w:cs="Arial"/>
              </w:rPr>
            </w:pPr>
            <w:r w:rsidRPr="000563AA">
              <w:rPr>
                <w:rFonts w:cs="Arial"/>
              </w:rPr>
              <w:t>Language Access</w:t>
            </w:r>
          </w:p>
        </w:tc>
        <w:tc>
          <w:tcPr>
            <w:tcW w:w="9340" w:type="dxa"/>
            <w:hideMark/>
          </w:tcPr>
          <w:p w14:paraId="31954678" w14:textId="77777777" w:rsidR="00C33D6E" w:rsidRPr="000563AA" w:rsidRDefault="00C33D6E" w:rsidP="00BD4710">
            <w:pPr>
              <w:spacing w:after="160" w:line="259" w:lineRule="auto"/>
              <w:rPr>
                <w:rFonts w:cs="Arial"/>
              </w:rPr>
            </w:pPr>
            <w:r w:rsidRPr="000563AA">
              <w:rPr>
                <w:rFonts w:cs="Arial"/>
              </w:rPr>
              <w:t>Translation and interpreting services across Council</w:t>
            </w:r>
          </w:p>
        </w:tc>
      </w:tr>
      <w:tr w:rsidR="00C33D6E" w:rsidRPr="000563AA" w14:paraId="3D50928F" w14:textId="77777777" w:rsidTr="00BD4710">
        <w:trPr>
          <w:trHeight w:val="300"/>
        </w:trPr>
        <w:tc>
          <w:tcPr>
            <w:tcW w:w="2620" w:type="dxa"/>
            <w:hideMark/>
          </w:tcPr>
          <w:p w14:paraId="66944233" w14:textId="77777777" w:rsidR="00C33D6E" w:rsidRPr="000563AA" w:rsidRDefault="00C33D6E" w:rsidP="00BD4710">
            <w:pPr>
              <w:spacing w:after="160" w:line="259" w:lineRule="auto"/>
              <w:rPr>
                <w:rFonts w:cs="Arial"/>
              </w:rPr>
            </w:pPr>
            <w:r w:rsidRPr="000563AA">
              <w:rPr>
                <w:rFonts w:cs="Arial"/>
              </w:rPr>
              <w:t>Anti-Racism</w:t>
            </w:r>
          </w:p>
        </w:tc>
        <w:tc>
          <w:tcPr>
            <w:tcW w:w="9340" w:type="dxa"/>
            <w:hideMark/>
          </w:tcPr>
          <w:p w14:paraId="60BC9297" w14:textId="1ED808D3" w:rsidR="00C33D6E" w:rsidRPr="000563AA" w:rsidRDefault="00C33D6E" w:rsidP="00BD4710">
            <w:pPr>
              <w:spacing w:after="160" w:line="259" w:lineRule="auto"/>
              <w:rPr>
                <w:rFonts w:cs="Arial"/>
              </w:rPr>
            </w:pPr>
            <w:r w:rsidRPr="000563AA">
              <w:rPr>
                <w:rFonts w:cs="Arial"/>
              </w:rPr>
              <w:t xml:space="preserve">Reporting tools and resources, </w:t>
            </w:r>
            <w:r>
              <w:rPr>
                <w:rFonts w:cs="Arial"/>
              </w:rPr>
              <w:t xml:space="preserve">membership of </w:t>
            </w:r>
            <w:r w:rsidRPr="00C33D6E">
              <w:rPr>
                <w:rFonts w:eastAsia="Times New Roman" w:cs="Arial"/>
                <w:lang w:eastAsia="en-AU"/>
              </w:rPr>
              <w:t>‘Racism – It Stops with Me’ and All One Together anti-racism campaigns.</w:t>
            </w:r>
          </w:p>
        </w:tc>
      </w:tr>
      <w:tr w:rsidR="00C33D6E" w:rsidRPr="000563AA" w14:paraId="0946D898" w14:textId="77777777" w:rsidTr="00BD4710">
        <w:trPr>
          <w:trHeight w:val="300"/>
        </w:trPr>
        <w:tc>
          <w:tcPr>
            <w:tcW w:w="2620" w:type="dxa"/>
            <w:hideMark/>
          </w:tcPr>
          <w:p w14:paraId="57133A69" w14:textId="77777777" w:rsidR="00C33D6E" w:rsidRPr="000563AA" w:rsidRDefault="00C33D6E" w:rsidP="00BD4710">
            <w:pPr>
              <w:spacing w:after="160" w:line="259" w:lineRule="auto"/>
              <w:rPr>
                <w:rFonts w:cs="Arial"/>
              </w:rPr>
            </w:pPr>
            <w:r w:rsidRPr="000563AA">
              <w:rPr>
                <w:rFonts w:cs="Arial"/>
              </w:rPr>
              <w:t>Community Grants</w:t>
            </w:r>
          </w:p>
        </w:tc>
        <w:tc>
          <w:tcPr>
            <w:tcW w:w="9340" w:type="dxa"/>
            <w:hideMark/>
          </w:tcPr>
          <w:p w14:paraId="17B4AC68" w14:textId="77777777" w:rsidR="00C33D6E" w:rsidRPr="000563AA" w:rsidRDefault="00C33D6E" w:rsidP="00BD4710">
            <w:pPr>
              <w:spacing w:after="160" w:line="259" w:lineRule="auto"/>
              <w:rPr>
                <w:rFonts w:cs="Arial"/>
              </w:rPr>
            </w:pPr>
            <w:r w:rsidRPr="000563AA">
              <w:rPr>
                <w:rFonts w:cs="Arial"/>
              </w:rPr>
              <w:t>6 funding streams; 33% of 2024/25 grants supported multicultural communities</w:t>
            </w:r>
          </w:p>
        </w:tc>
      </w:tr>
      <w:tr w:rsidR="00C33D6E" w:rsidRPr="000563AA" w14:paraId="4EF97A47" w14:textId="77777777" w:rsidTr="00BD4710">
        <w:trPr>
          <w:trHeight w:val="300"/>
        </w:trPr>
        <w:tc>
          <w:tcPr>
            <w:tcW w:w="2620" w:type="dxa"/>
            <w:hideMark/>
          </w:tcPr>
          <w:p w14:paraId="7DEFE547" w14:textId="77777777" w:rsidR="00C33D6E" w:rsidRPr="000563AA" w:rsidRDefault="00C33D6E" w:rsidP="00BD4710">
            <w:pPr>
              <w:spacing w:after="160" w:line="259" w:lineRule="auto"/>
              <w:rPr>
                <w:rFonts w:cs="Arial"/>
              </w:rPr>
            </w:pPr>
            <w:r w:rsidRPr="000563AA">
              <w:rPr>
                <w:rFonts w:cs="Arial"/>
              </w:rPr>
              <w:t>Library Services</w:t>
            </w:r>
          </w:p>
        </w:tc>
        <w:tc>
          <w:tcPr>
            <w:tcW w:w="9340" w:type="dxa"/>
            <w:hideMark/>
          </w:tcPr>
          <w:p w14:paraId="773BDF7B" w14:textId="0D7EC195" w:rsidR="00C33D6E" w:rsidRPr="000563AA" w:rsidRDefault="00C33D6E" w:rsidP="00BD4710">
            <w:pPr>
              <w:spacing w:after="160" w:line="259" w:lineRule="auto"/>
              <w:rPr>
                <w:rFonts w:cs="Arial"/>
              </w:rPr>
            </w:pPr>
            <w:r w:rsidRPr="000563AA">
              <w:rPr>
                <w:rFonts w:cs="Arial"/>
              </w:rPr>
              <w:t xml:space="preserve">LOTE collection, </w:t>
            </w:r>
            <w:r w:rsidRPr="00683AC7">
              <w:rPr>
                <w:rFonts w:cs="Arial"/>
              </w:rPr>
              <w:t>Storytime</w:t>
            </w:r>
            <w:r w:rsidRPr="000563AA">
              <w:rPr>
                <w:rFonts w:cs="Arial"/>
              </w:rPr>
              <w:t xml:space="preserve"> in 8 languages, E</w:t>
            </w:r>
            <w:r>
              <w:rPr>
                <w:rFonts w:cs="Arial"/>
              </w:rPr>
              <w:t>nglish as an additional language</w:t>
            </w:r>
            <w:r w:rsidRPr="000563AA">
              <w:rPr>
                <w:rFonts w:cs="Arial"/>
              </w:rPr>
              <w:t xml:space="preserve"> support, cultural programming</w:t>
            </w:r>
          </w:p>
        </w:tc>
      </w:tr>
      <w:tr w:rsidR="00C33D6E" w:rsidRPr="000563AA" w14:paraId="23C84DA3" w14:textId="77777777" w:rsidTr="00BD4710">
        <w:trPr>
          <w:trHeight w:val="300"/>
        </w:trPr>
        <w:tc>
          <w:tcPr>
            <w:tcW w:w="2620" w:type="dxa"/>
            <w:hideMark/>
          </w:tcPr>
          <w:p w14:paraId="53D4D4BA" w14:textId="77777777" w:rsidR="00C33D6E" w:rsidRPr="000563AA" w:rsidRDefault="00C33D6E" w:rsidP="00BD4710">
            <w:pPr>
              <w:spacing w:after="160" w:line="259" w:lineRule="auto"/>
              <w:rPr>
                <w:rFonts w:cs="Arial"/>
              </w:rPr>
            </w:pPr>
            <w:r w:rsidRPr="000563AA">
              <w:rPr>
                <w:rFonts w:cs="Arial"/>
              </w:rPr>
              <w:t>Facilities</w:t>
            </w:r>
          </w:p>
        </w:tc>
        <w:tc>
          <w:tcPr>
            <w:tcW w:w="9340" w:type="dxa"/>
            <w:hideMark/>
          </w:tcPr>
          <w:p w14:paraId="26F1C2BB" w14:textId="77777777" w:rsidR="00C33D6E" w:rsidRPr="000563AA" w:rsidRDefault="00C33D6E" w:rsidP="00BD4710">
            <w:pPr>
              <w:spacing w:after="160" w:line="259" w:lineRule="auto"/>
              <w:rPr>
                <w:rFonts w:cs="Arial"/>
              </w:rPr>
            </w:pPr>
            <w:r w:rsidRPr="000563AA">
              <w:rPr>
                <w:rFonts w:cs="Arial"/>
              </w:rPr>
              <w:t>Used by 35 multicultural groups; key sites: South Melbourne, Sol Green, Betty Day</w:t>
            </w:r>
          </w:p>
        </w:tc>
      </w:tr>
      <w:tr w:rsidR="00C33D6E" w:rsidRPr="000563AA" w14:paraId="3F20EB9F" w14:textId="77777777" w:rsidTr="00BD4710">
        <w:trPr>
          <w:trHeight w:val="300"/>
        </w:trPr>
        <w:tc>
          <w:tcPr>
            <w:tcW w:w="2620" w:type="dxa"/>
            <w:hideMark/>
          </w:tcPr>
          <w:p w14:paraId="5657278D" w14:textId="77777777" w:rsidR="00C33D6E" w:rsidRPr="000563AA" w:rsidRDefault="00C33D6E" w:rsidP="00BD4710">
            <w:pPr>
              <w:spacing w:after="160" w:line="259" w:lineRule="auto"/>
              <w:rPr>
                <w:rFonts w:cs="Arial"/>
              </w:rPr>
            </w:pPr>
            <w:r w:rsidRPr="000563AA">
              <w:rPr>
                <w:rFonts w:cs="Arial"/>
              </w:rPr>
              <w:t>Civic Engagement</w:t>
            </w:r>
          </w:p>
        </w:tc>
        <w:tc>
          <w:tcPr>
            <w:tcW w:w="9340" w:type="dxa"/>
            <w:hideMark/>
          </w:tcPr>
          <w:p w14:paraId="6895350C" w14:textId="77777777" w:rsidR="00C33D6E" w:rsidRPr="000563AA" w:rsidRDefault="00C33D6E" w:rsidP="00BD4710">
            <w:pPr>
              <w:spacing w:after="160" w:line="259" w:lineRule="auto"/>
              <w:rPr>
                <w:rFonts w:cs="Arial"/>
              </w:rPr>
            </w:pPr>
            <w:r w:rsidRPr="000563AA">
              <w:rPr>
                <w:rFonts w:cs="Arial"/>
              </w:rPr>
              <w:t>Local citizenship ceremonies in partnership with Federal Government</w:t>
            </w:r>
          </w:p>
        </w:tc>
      </w:tr>
    </w:tbl>
    <w:p w14:paraId="19A22278" w14:textId="77777777" w:rsidR="00C33D6E" w:rsidRDefault="00C33D6E" w:rsidP="00C33D6E">
      <w:pPr>
        <w:pStyle w:val="Heading3"/>
      </w:pPr>
      <w:bookmarkStart w:id="10" w:name="_Toc210296859"/>
      <w:r w:rsidRPr="00683AC7">
        <w:t>City of Port Phillip Community Profile</w:t>
      </w:r>
      <w:bookmarkEnd w:id="10"/>
      <w:r w:rsidRPr="00683AC7">
        <w:t xml:space="preserve"> </w:t>
      </w:r>
    </w:p>
    <w:p w14:paraId="62F76A7B" w14:textId="7961D704" w:rsidR="00C33D6E" w:rsidRPr="00C33D6E" w:rsidRDefault="00CC49B7" w:rsidP="00C33D6E">
      <w:r w:rsidRPr="00CC49B7">
        <w:t>The following statistics, drawn from the Australian Bureau of Statistics 2021 Census, highlight the City of Port Phillip’s rich cultural, religious, and linguistic diversity</w:t>
      </w:r>
      <w:r>
        <w:t xml:space="preserve">. </w:t>
      </w:r>
    </w:p>
    <w:tbl>
      <w:tblPr>
        <w:tblStyle w:val="TableGrid"/>
        <w:tblW w:w="0" w:type="auto"/>
        <w:tblLook w:val="04A0" w:firstRow="1" w:lastRow="0" w:firstColumn="1" w:lastColumn="0" w:noHBand="0" w:noVBand="1"/>
      </w:tblPr>
      <w:tblGrid>
        <w:gridCol w:w="3083"/>
        <w:gridCol w:w="6545"/>
      </w:tblGrid>
      <w:tr w:rsidR="00C33D6E" w:rsidRPr="000563AA" w14:paraId="3FD6DEDA" w14:textId="77777777" w:rsidTr="00C33D6E">
        <w:trPr>
          <w:trHeight w:val="300"/>
        </w:trPr>
        <w:tc>
          <w:tcPr>
            <w:tcW w:w="4720" w:type="dxa"/>
            <w:shd w:val="clear" w:color="auto" w:fill="0D0D0D" w:themeFill="text1" w:themeFillTint="F2"/>
            <w:hideMark/>
          </w:tcPr>
          <w:p w14:paraId="7C11138E" w14:textId="77777777" w:rsidR="00C33D6E" w:rsidRPr="000563AA" w:rsidRDefault="00C33D6E" w:rsidP="00BD4710">
            <w:pPr>
              <w:spacing w:after="160" w:line="259" w:lineRule="auto"/>
              <w:rPr>
                <w:rFonts w:cs="Arial"/>
                <w:b/>
                <w:bCs/>
              </w:rPr>
            </w:pPr>
            <w:r w:rsidRPr="000563AA">
              <w:rPr>
                <w:rFonts w:cs="Arial"/>
                <w:b/>
                <w:bCs/>
              </w:rPr>
              <w:t>Category</w:t>
            </w:r>
          </w:p>
        </w:tc>
        <w:tc>
          <w:tcPr>
            <w:tcW w:w="11240" w:type="dxa"/>
            <w:shd w:val="clear" w:color="auto" w:fill="0D0D0D" w:themeFill="text1" w:themeFillTint="F2"/>
            <w:hideMark/>
          </w:tcPr>
          <w:p w14:paraId="3628371B" w14:textId="77777777" w:rsidR="00C33D6E" w:rsidRPr="000563AA" w:rsidRDefault="00C33D6E" w:rsidP="00BD4710">
            <w:pPr>
              <w:spacing w:after="160" w:line="259" w:lineRule="auto"/>
              <w:rPr>
                <w:rFonts w:cs="Arial"/>
                <w:b/>
                <w:bCs/>
              </w:rPr>
            </w:pPr>
            <w:r w:rsidRPr="000563AA">
              <w:rPr>
                <w:rFonts w:cs="Arial"/>
                <w:b/>
                <w:bCs/>
              </w:rPr>
              <w:t>Key Insights</w:t>
            </w:r>
          </w:p>
        </w:tc>
      </w:tr>
      <w:tr w:rsidR="00C33D6E" w:rsidRPr="000563AA" w14:paraId="168BC9FB" w14:textId="77777777" w:rsidTr="00BD4710">
        <w:trPr>
          <w:trHeight w:val="300"/>
        </w:trPr>
        <w:tc>
          <w:tcPr>
            <w:tcW w:w="4720" w:type="dxa"/>
            <w:hideMark/>
          </w:tcPr>
          <w:p w14:paraId="31301515" w14:textId="77777777" w:rsidR="00C33D6E" w:rsidRPr="000563AA" w:rsidRDefault="00C33D6E" w:rsidP="00BD4710">
            <w:pPr>
              <w:spacing w:after="160" w:line="259" w:lineRule="auto"/>
              <w:rPr>
                <w:rFonts w:cs="Arial"/>
              </w:rPr>
            </w:pPr>
            <w:r w:rsidRPr="000563AA">
              <w:rPr>
                <w:rFonts w:cs="Arial"/>
              </w:rPr>
              <w:lastRenderedPageBreak/>
              <w:t>Population Diversity</w:t>
            </w:r>
          </w:p>
        </w:tc>
        <w:tc>
          <w:tcPr>
            <w:tcW w:w="11240" w:type="dxa"/>
            <w:hideMark/>
          </w:tcPr>
          <w:p w14:paraId="1CA58FD6" w14:textId="77777777" w:rsidR="00C33D6E" w:rsidRPr="000563AA" w:rsidRDefault="00C33D6E" w:rsidP="00BD4710">
            <w:pPr>
              <w:spacing w:after="160" w:line="259" w:lineRule="auto"/>
              <w:rPr>
                <w:rFonts w:cs="Arial"/>
              </w:rPr>
            </w:pPr>
            <w:r w:rsidRPr="000563AA">
              <w:rPr>
                <w:rFonts w:cs="Arial"/>
              </w:rPr>
              <w:t>33.1% born overseas (up from 26.9% in 2006); 164 birthplaces; 126 languages spoken; 51% female; avg age 40</w:t>
            </w:r>
          </w:p>
        </w:tc>
      </w:tr>
      <w:tr w:rsidR="00C33D6E" w:rsidRPr="000563AA" w14:paraId="72A1D4BF" w14:textId="77777777" w:rsidTr="00BD4710">
        <w:trPr>
          <w:trHeight w:val="300"/>
        </w:trPr>
        <w:tc>
          <w:tcPr>
            <w:tcW w:w="4720" w:type="dxa"/>
            <w:hideMark/>
          </w:tcPr>
          <w:p w14:paraId="0BD04F5E" w14:textId="77777777" w:rsidR="00C33D6E" w:rsidRPr="000563AA" w:rsidRDefault="00C33D6E" w:rsidP="00BD4710">
            <w:pPr>
              <w:spacing w:after="160" w:line="259" w:lineRule="auto"/>
              <w:rPr>
                <w:rFonts w:cs="Arial"/>
              </w:rPr>
            </w:pPr>
            <w:r w:rsidRPr="000563AA">
              <w:rPr>
                <w:rFonts w:cs="Arial"/>
              </w:rPr>
              <w:t>Disability Support</w:t>
            </w:r>
          </w:p>
        </w:tc>
        <w:tc>
          <w:tcPr>
            <w:tcW w:w="11240" w:type="dxa"/>
            <w:hideMark/>
          </w:tcPr>
          <w:p w14:paraId="518190EE" w14:textId="77777777" w:rsidR="00C33D6E" w:rsidRPr="000563AA" w:rsidRDefault="00C33D6E" w:rsidP="00BD4710">
            <w:pPr>
              <w:spacing w:after="160" w:line="259" w:lineRule="auto"/>
              <w:rPr>
                <w:rFonts w:cs="Arial"/>
              </w:rPr>
            </w:pPr>
            <w:r w:rsidRPr="000563AA">
              <w:rPr>
                <w:rFonts w:cs="Arial"/>
              </w:rPr>
              <w:t>4.4% of overseas-born residents need assistance due to disability</w:t>
            </w:r>
          </w:p>
        </w:tc>
      </w:tr>
      <w:tr w:rsidR="00C33D6E" w:rsidRPr="000563AA" w14:paraId="2C736A52" w14:textId="77777777" w:rsidTr="00BD4710">
        <w:trPr>
          <w:trHeight w:val="300"/>
        </w:trPr>
        <w:tc>
          <w:tcPr>
            <w:tcW w:w="4720" w:type="dxa"/>
            <w:hideMark/>
          </w:tcPr>
          <w:p w14:paraId="456B9EDE" w14:textId="77777777" w:rsidR="00C33D6E" w:rsidRPr="000563AA" w:rsidRDefault="00C33D6E" w:rsidP="00BD4710">
            <w:pPr>
              <w:spacing w:after="160" w:line="259" w:lineRule="auto"/>
              <w:rPr>
                <w:rFonts w:cs="Arial"/>
              </w:rPr>
            </w:pPr>
            <w:r w:rsidRPr="000563AA">
              <w:rPr>
                <w:rFonts w:cs="Arial"/>
              </w:rPr>
              <w:t>Suburban Diversity Hotspots</w:t>
            </w:r>
          </w:p>
        </w:tc>
        <w:tc>
          <w:tcPr>
            <w:tcW w:w="11240" w:type="dxa"/>
            <w:hideMark/>
          </w:tcPr>
          <w:p w14:paraId="4CBA91AD" w14:textId="77777777" w:rsidR="00C33D6E" w:rsidRPr="000563AA" w:rsidRDefault="00C33D6E" w:rsidP="00BD4710">
            <w:pPr>
              <w:spacing w:after="160" w:line="259" w:lineRule="auto"/>
              <w:rPr>
                <w:rFonts w:cs="Arial"/>
              </w:rPr>
            </w:pPr>
            <w:r w:rsidRPr="000563AA">
              <w:rPr>
                <w:rFonts w:cs="Arial"/>
              </w:rPr>
              <w:t>South Melbourne</w:t>
            </w:r>
            <w:r w:rsidRPr="00683AC7">
              <w:rPr>
                <w:rFonts w:cs="Arial"/>
              </w:rPr>
              <w:t xml:space="preserve"> - 34% born overseas</w:t>
            </w:r>
            <w:r w:rsidRPr="000563AA">
              <w:rPr>
                <w:rFonts w:cs="Arial"/>
              </w:rPr>
              <w:t xml:space="preserve"> (Park Towers), Montague</w:t>
            </w:r>
            <w:r w:rsidRPr="00683AC7">
              <w:rPr>
                <w:rFonts w:cs="Arial"/>
              </w:rPr>
              <w:t>- 38% born oversea</w:t>
            </w:r>
            <w:r w:rsidRPr="000563AA">
              <w:rPr>
                <w:rFonts w:cs="Arial"/>
              </w:rPr>
              <w:t xml:space="preserve"> (Southbank), Lakeside</w:t>
            </w:r>
            <w:r w:rsidRPr="00683AC7">
              <w:rPr>
                <w:rFonts w:cs="Arial"/>
              </w:rPr>
              <w:t>- 36% born overseas</w:t>
            </w:r>
            <w:r w:rsidRPr="000563AA">
              <w:rPr>
                <w:rFonts w:cs="Arial"/>
              </w:rPr>
              <w:t xml:space="preserve"> (St Kilda Rd)</w:t>
            </w:r>
          </w:p>
        </w:tc>
      </w:tr>
      <w:tr w:rsidR="00C33D6E" w:rsidRPr="000563AA" w14:paraId="649CD4B1" w14:textId="77777777" w:rsidTr="00BD4710">
        <w:trPr>
          <w:trHeight w:val="300"/>
        </w:trPr>
        <w:tc>
          <w:tcPr>
            <w:tcW w:w="4720" w:type="dxa"/>
            <w:hideMark/>
          </w:tcPr>
          <w:p w14:paraId="62C2A8C6" w14:textId="77777777" w:rsidR="00C33D6E" w:rsidRPr="000563AA" w:rsidRDefault="00C33D6E" w:rsidP="00BD4710">
            <w:pPr>
              <w:spacing w:after="160" w:line="259" w:lineRule="auto"/>
              <w:rPr>
                <w:rFonts w:cs="Arial"/>
              </w:rPr>
            </w:pPr>
            <w:r w:rsidRPr="000563AA">
              <w:rPr>
                <w:rFonts w:cs="Arial"/>
              </w:rPr>
              <w:t>Languages Spoken at Home</w:t>
            </w:r>
          </w:p>
        </w:tc>
        <w:tc>
          <w:tcPr>
            <w:tcW w:w="11240" w:type="dxa"/>
            <w:hideMark/>
          </w:tcPr>
          <w:p w14:paraId="60D19DBA" w14:textId="77777777" w:rsidR="00C33D6E" w:rsidRPr="000563AA" w:rsidRDefault="00C33D6E" w:rsidP="00BD4710">
            <w:pPr>
              <w:spacing w:after="160" w:line="259" w:lineRule="auto"/>
              <w:rPr>
                <w:rFonts w:cs="Arial"/>
              </w:rPr>
            </w:pPr>
            <w:r w:rsidRPr="000563AA">
              <w:rPr>
                <w:rFonts w:cs="Arial"/>
              </w:rPr>
              <w:t>21% speak a language other than English; Top: Greek, Mandarin, Spanish, Italian, Russian</w:t>
            </w:r>
          </w:p>
        </w:tc>
      </w:tr>
      <w:tr w:rsidR="00C33D6E" w:rsidRPr="000563AA" w14:paraId="12668134" w14:textId="77777777" w:rsidTr="00BD4710">
        <w:trPr>
          <w:trHeight w:val="300"/>
        </w:trPr>
        <w:tc>
          <w:tcPr>
            <w:tcW w:w="4720" w:type="dxa"/>
            <w:hideMark/>
          </w:tcPr>
          <w:p w14:paraId="6F986842" w14:textId="77777777" w:rsidR="00C33D6E" w:rsidRPr="000563AA" w:rsidRDefault="00C33D6E" w:rsidP="00BD4710">
            <w:pPr>
              <w:spacing w:after="160" w:line="259" w:lineRule="auto"/>
              <w:rPr>
                <w:rFonts w:cs="Arial"/>
              </w:rPr>
            </w:pPr>
            <w:r w:rsidRPr="000563AA">
              <w:rPr>
                <w:rFonts w:cs="Arial"/>
              </w:rPr>
              <w:t>Emerging Languages</w:t>
            </w:r>
          </w:p>
        </w:tc>
        <w:tc>
          <w:tcPr>
            <w:tcW w:w="11240" w:type="dxa"/>
            <w:hideMark/>
          </w:tcPr>
          <w:p w14:paraId="44E4A3A3" w14:textId="77777777" w:rsidR="00C33D6E" w:rsidRPr="000563AA" w:rsidRDefault="00C33D6E" w:rsidP="00BD4710">
            <w:pPr>
              <w:spacing w:after="160" w:line="259" w:lineRule="auto"/>
              <w:rPr>
                <w:rFonts w:cs="Arial"/>
              </w:rPr>
            </w:pPr>
            <w:r w:rsidRPr="000563AA">
              <w:rPr>
                <w:rFonts w:cs="Arial"/>
              </w:rPr>
              <w:t>Spanish, Mandarin, Hindi, Portuguese, French among recent arrivals</w:t>
            </w:r>
          </w:p>
        </w:tc>
      </w:tr>
      <w:tr w:rsidR="00C33D6E" w:rsidRPr="000563AA" w14:paraId="5CB7CA64" w14:textId="77777777" w:rsidTr="00BD4710">
        <w:trPr>
          <w:trHeight w:val="300"/>
        </w:trPr>
        <w:tc>
          <w:tcPr>
            <w:tcW w:w="4720" w:type="dxa"/>
            <w:hideMark/>
          </w:tcPr>
          <w:p w14:paraId="01776B55" w14:textId="77777777" w:rsidR="00C33D6E" w:rsidRPr="000563AA" w:rsidRDefault="00C33D6E" w:rsidP="00BD4710">
            <w:pPr>
              <w:spacing w:after="160" w:line="259" w:lineRule="auto"/>
              <w:rPr>
                <w:rFonts w:cs="Arial"/>
              </w:rPr>
            </w:pPr>
            <w:r w:rsidRPr="000563AA">
              <w:rPr>
                <w:rFonts w:cs="Arial"/>
              </w:rPr>
              <w:t>Top Non-English-Speaking Countries of Birth</w:t>
            </w:r>
          </w:p>
        </w:tc>
        <w:tc>
          <w:tcPr>
            <w:tcW w:w="11240" w:type="dxa"/>
            <w:hideMark/>
          </w:tcPr>
          <w:p w14:paraId="5D5D3B46" w14:textId="77777777" w:rsidR="00C33D6E" w:rsidRPr="000563AA" w:rsidRDefault="00C33D6E" w:rsidP="00BD4710">
            <w:pPr>
              <w:spacing w:after="160" w:line="259" w:lineRule="auto"/>
              <w:rPr>
                <w:rFonts w:cs="Arial"/>
              </w:rPr>
            </w:pPr>
            <w:r w:rsidRPr="000563AA">
              <w:rPr>
                <w:rFonts w:cs="Arial"/>
              </w:rPr>
              <w:t>India (2.1%), China, Vietnam, Colombia (largest increase), Malaysia, South Korea</w:t>
            </w:r>
          </w:p>
        </w:tc>
      </w:tr>
      <w:tr w:rsidR="00C33D6E" w:rsidRPr="000563AA" w14:paraId="7D03875E" w14:textId="77777777" w:rsidTr="00BD4710">
        <w:trPr>
          <w:trHeight w:val="300"/>
        </w:trPr>
        <w:tc>
          <w:tcPr>
            <w:tcW w:w="4720" w:type="dxa"/>
            <w:hideMark/>
          </w:tcPr>
          <w:p w14:paraId="11DC3B18" w14:textId="77777777" w:rsidR="00C33D6E" w:rsidRPr="000563AA" w:rsidRDefault="00C33D6E" w:rsidP="00BD4710">
            <w:pPr>
              <w:spacing w:after="160" w:line="259" w:lineRule="auto"/>
              <w:rPr>
                <w:rFonts w:cs="Arial"/>
              </w:rPr>
            </w:pPr>
            <w:r w:rsidRPr="000563AA">
              <w:rPr>
                <w:rFonts w:cs="Arial"/>
              </w:rPr>
              <w:t>Age Distribution</w:t>
            </w:r>
          </w:p>
        </w:tc>
        <w:tc>
          <w:tcPr>
            <w:tcW w:w="11240" w:type="dxa"/>
            <w:hideMark/>
          </w:tcPr>
          <w:p w14:paraId="48D3B640" w14:textId="77777777" w:rsidR="00C33D6E" w:rsidRPr="000563AA" w:rsidRDefault="00C33D6E" w:rsidP="00BD4710">
            <w:pPr>
              <w:spacing w:after="160" w:line="259" w:lineRule="auto"/>
              <w:rPr>
                <w:rFonts w:cs="Arial"/>
              </w:rPr>
            </w:pPr>
            <w:r w:rsidRPr="000563AA">
              <w:rPr>
                <w:rFonts w:cs="Arial"/>
              </w:rPr>
              <w:t>3% under 12, 6% aged 12–24; 18% aged 60+ (44% of them born overseas); older migrants in Balaclava, Port Melbourne, Elwood</w:t>
            </w:r>
          </w:p>
        </w:tc>
      </w:tr>
      <w:tr w:rsidR="00C33D6E" w:rsidRPr="000563AA" w14:paraId="3F4C9A09" w14:textId="77777777" w:rsidTr="00BD4710">
        <w:trPr>
          <w:trHeight w:val="300"/>
        </w:trPr>
        <w:tc>
          <w:tcPr>
            <w:tcW w:w="4720" w:type="dxa"/>
            <w:hideMark/>
          </w:tcPr>
          <w:p w14:paraId="0B6D245A" w14:textId="77777777" w:rsidR="00C33D6E" w:rsidRPr="000563AA" w:rsidRDefault="00C33D6E" w:rsidP="00BD4710">
            <w:pPr>
              <w:spacing w:after="160" w:line="259" w:lineRule="auto"/>
              <w:rPr>
                <w:rFonts w:cs="Arial"/>
              </w:rPr>
            </w:pPr>
            <w:r w:rsidRPr="000563AA">
              <w:rPr>
                <w:rFonts w:cs="Arial"/>
              </w:rPr>
              <w:t>Languages Spoken by Older Residents</w:t>
            </w:r>
          </w:p>
        </w:tc>
        <w:tc>
          <w:tcPr>
            <w:tcW w:w="11240" w:type="dxa"/>
            <w:hideMark/>
          </w:tcPr>
          <w:p w14:paraId="75184644" w14:textId="77777777" w:rsidR="00C33D6E" w:rsidRPr="000563AA" w:rsidRDefault="00C33D6E" w:rsidP="00BD4710">
            <w:pPr>
              <w:spacing w:after="160" w:line="259" w:lineRule="auto"/>
              <w:rPr>
                <w:rFonts w:cs="Arial"/>
              </w:rPr>
            </w:pPr>
            <w:r w:rsidRPr="000563AA">
              <w:rPr>
                <w:rFonts w:cs="Arial"/>
              </w:rPr>
              <w:t>Greek, Russian, Italian, Polish</w:t>
            </w:r>
          </w:p>
        </w:tc>
      </w:tr>
      <w:tr w:rsidR="00C33D6E" w:rsidRPr="000563AA" w14:paraId="4E360CE2" w14:textId="77777777" w:rsidTr="00BD4710">
        <w:trPr>
          <w:trHeight w:val="300"/>
        </w:trPr>
        <w:tc>
          <w:tcPr>
            <w:tcW w:w="4720" w:type="dxa"/>
            <w:hideMark/>
          </w:tcPr>
          <w:p w14:paraId="78BE2482" w14:textId="77777777" w:rsidR="00C33D6E" w:rsidRPr="000563AA" w:rsidRDefault="00C33D6E" w:rsidP="00BD4710">
            <w:pPr>
              <w:spacing w:after="160" w:line="259" w:lineRule="auto"/>
              <w:rPr>
                <w:rFonts w:cs="Arial"/>
              </w:rPr>
            </w:pPr>
            <w:r w:rsidRPr="000563AA">
              <w:rPr>
                <w:rFonts w:cs="Arial"/>
              </w:rPr>
              <w:t>Religious Affiliations</w:t>
            </w:r>
          </w:p>
        </w:tc>
        <w:tc>
          <w:tcPr>
            <w:tcW w:w="11240" w:type="dxa"/>
            <w:hideMark/>
          </w:tcPr>
          <w:p w14:paraId="318B75E1" w14:textId="53915522" w:rsidR="00C33D6E" w:rsidRPr="000563AA" w:rsidRDefault="00C33D6E" w:rsidP="00BD4710">
            <w:pPr>
              <w:spacing w:after="160" w:line="259" w:lineRule="auto"/>
              <w:rPr>
                <w:rFonts w:cs="Arial"/>
              </w:rPr>
            </w:pPr>
            <w:r w:rsidRPr="000563AA">
              <w:rPr>
                <w:rFonts w:cs="Arial"/>
              </w:rPr>
              <w:t xml:space="preserve">Catholic (27.3%), Buddhism (3.3%), Hinduism (2.1%), Judaism (3.3%) </w:t>
            </w:r>
            <w:r w:rsidRPr="00683AC7">
              <w:rPr>
                <w:rFonts w:cs="Arial"/>
              </w:rPr>
              <w:t>(</w:t>
            </w:r>
            <w:r w:rsidRPr="000563AA">
              <w:rPr>
                <w:rFonts w:cs="Arial"/>
              </w:rPr>
              <w:t>large Jewish community in St Kilda</w:t>
            </w:r>
            <w:r w:rsidRPr="00683AC7">
              <w:rPr>
                <w:rFonts w:cs="Arial"/>
              </w:rPr>
              <w:t>)</w:t>
            </w:r>
          </w:p>
        </w:tc>
      </w:tr>
      <w:tr w:rsidR="00C33D6E" w:rsidRPr="000563AA" w14:paraId="61136914" w14:textId="77777777" w:rsidTr="00BD4710">
        <w:trPr>
          <w:trHeight w:val="300"/>
        </w:trPr>
        <w:tc>
          <w:tcPr>
            <w:tcW w:w="4720" w:type="dxa"/>
            <w:hideMark/>
          </w:tcPr>
          <w:p w14:paraId="0A991345" w14:textId="77777777" w:rsidR="00C33D6E" w:rsidRPr="000563AA" w:rsidRDefault="00C33D6E" w:rsidP="00BD4710">
            <w:pPr>
              <w:spacing w:after="160" w:line="259" w:lineRule="auto"/>
              <w:rPr>
                <w:rFonts w:cs="Arial"/>
              </w:rPr>
            </w:pPr>
            <w:r w:rsidRPr="000563AA">
              <w:rPr>
                <w:rFonts w:cs="Arial"/>
              </w:rPr>
              <w:t>Future Growth Areas</w:t>
            </w:r>
          </w:p>
        </w:tc>
        <w:tc>
          <w:tcPr>
            <w:tcW w:w="11240" w:type="dxa"/>
            <w:hideMark/>
          </w:tcPr>
          <w:p w14:paraId="2D84F763" w14:textId="5D3B23FD" w:rsidR="00C33D6E" w:rsidRPr="000563AA" w:rsidRDefault="00C33D6E" w:rsidP="00BD4710">
            <w:pPr>
              <w:spacing w:after="160" w:line="259" w:lineRule="auto"/>
              <w:rPr>
                <w:rFonts w:cs="Arial"/>
              </w:rPr>
            </w:pPr>
            <w:r w:rsidRPr="000563AA">
              <w:rPr>
                <w:rFonts w:cs="Arial"/>
              </w:rPr>
              <w:t>Fisherman’s Bend, St Kilda Road</w:t>
            </w:r>
            <w:r w:rsidRPr="00683AC7">
              <w:rPr>
                <w:rFonts w:cs="Arial"/>
              </w:rPr>
              <w:t xml:space="preserve">, </w:t>
            </w:r>
            <w:r w:rsidRPr="000563AA">
              <w:rPr>
                <w:rFonts w:cs="Arial"/>
              </w:rPr>
              <w:t>expected increase in cultural diversity</w:t>
            </w:r>
          </w:p>
        </w:tc>
      </w:tr>
    </w:tbl>
    <w:p w14:paraId="559785FD" w14:textId="43E1527C" w:rsidR="00D25A52" w:rsidRDefault="00C33D6E" w:rsidP="00D25A52">
      <w:pPr>
        <w:pStyle w:val="Heading3"/>
        <w:rPr>
          <w:rFonts w:eastAsiaTheme="minorHAnsi" w:cs="Arial"/>
          <w:b w:val="0"/>
          <w:sz w:val="22"/>
          <w:szCs w:val="22"/>
        </w:rPr>
      </w:pPr>
      <w:bookmarkStart w:id="11" w:name="_Toc210296860"/>
      <w:r w:rsidRPr="00CC49B7">
        <w:rPr>
          <w:rStyle w:val="Strong"/>
          <w:b/>
          <w:bCs w:val="0"/>
        </w:rPr>
        <w:t xml:space="preserve">Migration </w:t>
      </w:r>
      <w:r w:rsidR="00D25A52">
        <w:rPr>
          <w:rStyle w:val="Strong"/>
          <w:b/>
          <w:bCs w:val="0"/>
        </w:rPr>
        <w:t>d</w:t>
      </w:r>
      <w:r w:rsidRPr="00CC49B7">
        <w:rPr>
          <w:rStyle w:val="Strong"/>
          <w:b/>
          <w:bCs w:val="0"/>
        </w:rPr>
        <w:t xml:space="preserve">ata and </w:t>
      </w:r>
      <w:r w:rsidR="00D25A52">
        <w:rPr>
          <w:rStyle w:val="Strong"/>
          <w:b/>
          <w:bCs w:val="0"/>
        </w:rPr>
        <w:t>t</w:t>
      </w:r>
      <w:r w:rsidRPr="00CC49B7">
        <w:rPr>
          <w:rStyle w:val="Strong"/>
          <w:b/>
          <w:bCs w:val="0"/>
        </w:rPr>
        <w:t>rends</w:t>
      </w:r>
      <w:r w:rsidRPr="00CC49B7">
        <w:t xml:space="preserve"> for the City of Port Phillip</w:t>
      </w:r>
      <w:r w:rsidRPr="000563AA">
        <w:rPr>
          <w:rFonts w:cs="Arial"/>
          <w:sz w:val="22"/>
          <w:szCs w:val="22"/>
        </w:rPr>
        <w:br/>
      </w:r>
      <w:r w:rsidRPr="000563AA">
        <w:rPr>
          <w:rFonts w:eastAsiaTheme="minorHAnsi" w:cs="Arial"/>
          <w:b w:val="0"/>
          <w:sz w:val="22"/>
          <w:szCs w:val="22"/>
        </w:rPr>
        <w:t>Between January 2015 and September 2023, 10,250 new migrants settled in the City of Port Phillip. Most arrived under the Skilled migration stream (73.33%), followed by Family (25.81%) and Humanitarian (0.86%) visas. The average age of new arrivals was 33.6 years, indicating a predominantly young, working-age population.</w:t>
      </w:r>
      <w:bookmarkEnd w:id="11"/>
    </w:p>
    <w:p w14:paraId="63991ADE" w14:textId="30FC0CCF" w:rsidR="00C33D6E" w:rsidRPr="00D25A52" w:rsidRDefault="00C33D6E" w:rsidP="00D25A52">
      <w:pPr>
        <w:pStyle w:val="Heading3"/>
        <w:rPr>
          <w:rFonts w:eastAsiaTheme="minorHAnsi" w:cs="Arial"/>
          <w:b w:val="0"/>
          <w:sz w:val="22"/>
          <w:szCs w:val="22"/>
        </w:rPr>
      </w:pPr>
      <w:r w:rsidRPr="000563AA">
        <w:rPr>
          <w:rFonts w:eastAsiaTheme="minorHAnsi" w:cs="Arial"/>
          <w:b w:val="0"/>
          <w:sz w:val="22"/>
          <w:szCs w:val="22"/>
        </w:rPr>
        <w:t>The top countries of birth (excluding English-speaking nations) were India, China, Colombia, Brazil, and Iran. Common languages spoken among these migrants include Mandarin, Spanish, Hindi, Portuguese, and Italian, reflecting the city’s growing linguistic diversity.</w:t>
      </w:r>
      <w:r w:rsidR="00D25A52" w:rsidRPr="00D25A52">
        <w:rPr>
          <w:rFonts w:eastAsiaTheme="minorHAnsi" w:cs="Arial"/>
          <w:b w:val="0"/>
          <w:sz w:val="22"/>
          <w:szCs w:val="22"/>
        </w:rPr>
        <w:t xml:space="preserve"> </w:t>
      </w:r>
      <w:r w:rsidRPr="000563AA">
        <w:rPr>
          <w:rFonts w:eastAsiaTheme="minorHAnsi" w:cs="Arial"/>
          <w:b w:val="0"/>
          <w:sz w:val="22"/>
          <w:szCs w:val="22"/>
        </w:rPr>
        <w:t>Islam and Buddhism are among the growing faiths represented in the local migrant population, contributing to the city’s evolving cultural and spiritual landscape</w:t>
      </w:r>
      <w:r w:rsidRPr="00683AC7">
        <w:rPr>
          <w:rFonts w:cs="Arial"/>
          <w:sz w:val="22"/>
          <w:szCs w:val="22"/>
        </w:rPr>
        <w:t xml:space="preserve">. </w:t>
      </w:r>
    </w:p>
    <w:p w14:paraId="03A892D0" w14:textId="77777777" w:rsidR="00C33D6E" w:rsidRPr="00683AC7" w:rsidRDefault="00C33D6E" w:rsidP="00CC49B7">
      <w:pPr>
        <w:pStyle w:val="Heading2"/>
      </w:pPr>
      <w:bookmarkStart w:id="12" w:name="_Toc210296861"/>
      <w:r w:rsidRPr="00683AC7">
        <w:t>Multicultural Inclusion: Legislative and Policy Foundations for Local Government</w:t>
      </w:r>
      <w:bookmarkEnd w:id="12"/>
    </w:p>
    <w:p w14:paraId="7514F912" w14:textId="77777777" w:rsidR="00C33D6E" w:rsidRPr="00683AC7" w:rsidRDefault="00C33D6E" w:rsidP="00C33D6E">
      <w:pPr>
        <w:spacing w:line="259" w:lineRule="auto"/>
        <w:rPr>
          <w:rFonts w:cs="Arial"/>
        </w:rPr>
      </w:pPr>
      <w:r w:rsidRPr="00683AC7">
        <w:rPr>
          <w:rFonts w:cs="Arial"/>
        </w:rPr>
        <w:t xml:space="preserve">The City of Port Phillip’s multicultural work is guided by a multi-level framework of international, national, state, and local policies and legislation. These frameworks affirm human rights, promote </w:t>
      </w:r>
      <w:r w:rsidRPr="00683AC7">
        <w:rPr>
          <w:rFonts w:cs="Arial"/>
        </w:rPr>
        <w:lastRenderedPageBreak/>
        <w:t>cultural diversity, and support equitable access to services. While not all are mandatory for local governments, aligning with them reflects best practice and a commitment to inclusive governance.</w:t>
      </w:r>
    </w:p>
    <w:p w14:paraId="40A41AA1" w14:textId="4E16B594" w:rsidR="00C33D6E" w:rsidRPr="00683AC7" w:rsidRDefault="00C33D6E" w:rsidP="00C33D6E">
      <w:pPr>
        <w:rPr>
          <w:rFonts w:cs="Arial"/>
        </w:rPr>
      </w:pPr>
      <w:r w:rsidRPr="00683AC7">
        <w:rPr>
          <w:rFonts w:cs="Arial"/>
        </w:rPr>
        <w:t>Key legislation</w:t>
      </w:r>
      <w:r w:rsidR="00CC49B7">
        <w:rPr>
          <w:rFonts w:cs="Arial"/>
        </w:rPr>
        <w:t xml:space="preserve"> </w:t>
      </w:r>
      <w:r w:rsidRPr="00683AC7">
        <w:rPr>
          <w:rFonts w:cs="Arial"/>
        </w:rPr>
        <w:t>such as the Racial Discrimination Act, Victorian Charter of Human Rights, and Equal Opportunity Act</w:t>
      </w:r>
      <w:r w:rsidR="00CC49B7">
        <w:rPr>
          <w:rFonts w:cs="Arial"/>
        </w:rPr>
        <w:t xml:space="preserve"> </w:t>
      </w:r>
      <w:r w:rsidRPr="00683AC7">
        <w:rPr>
          <w:rFonts w:cs="Arial"/>
        </w:rPr>
        <w:t>requires councils to deliver fair, inclusive services and uphold human rights. Complementary policies like Australia’s Multicultural Policy, Victoria’s Multicultural Review, and the Plan for Port Phillip (2025–35) provide strategic direction for fostering a respectful, culturally responsive community.</w:t>
      </w:r>
    </w:p>
    <w:p w14:paraId="729E6C53" w14:textId="562E547C" w:rsidR="00C33D6E" w:rsidRDefault="00C33D6E" w:rsidP="00C33D6E">
      <w:pPr>
        <w:pStyle w:val="Heading2"/>
      </w:pPr>
      <w:bookmarkStart w:id="13" w:name="_Toc210296862"/>
      <w:r w:rsidRPr="00683AC7">
        <w:t>Frameworks of practice for Local Government</w:t>
      </w:r>
      <w:r w:rsidR="00CC49B7">
        <w:t xml:space="preserve"> and opportunities</w:t>
      </w:r>
      <w:bookmarkEnd w:id="13"/>
      <w:r w:rsidR="00CC49B7">
        <w:t xml:space="preserve"> </w:t>
      </w:r>
      <w:r w:rsidRPr="00683AC7">
        <w:t xml:space="preserve"> </w:t>
      </w:r>
    </w:p>
    <w:p w14:paraId="7ACCBE31" w14:textId="76A08D9C" w:rsidR="00CC49B7" w:rsidRPr="00CC49B7" w:rsidRDefault="00CC49B7" w:rsidP="00CC49B7">
      <w:r w:rsidRPr="00CC49B7">
        <w:t>The following frameworks offer practical guidance for local governments in Australia and internationally to strengthen social cohesion, embrace diversity, and build inclusive communities.</w:t>
      </w:r>
    </w:p>
    <w:tbl>
      <w:tblPr>
        <w:tblStyle w:val="TableGrid"/>
        <w:tblW w:w="0" w:type="auto"/>
        <w:tblLook w:val="04A0" w:firstRow="1" w:lastRow="0" w:firstColumn="1" w:lastColumn="0" w:noHBand="0" w:noVBand="1"/>
      </w:tblPr>
      <w:tblGrid>
        <w:gridCol w:w="1582"/>
        <w:gridCol w:w="1085"/>
        <w:gridCol w:w="2365"/>
        <w:gridCol w:w="4452"/>
      </w:tblGrid>
      <w:tr w:rsidR="0064726E" w:rsidRPr="00BB7EEC" w14:paraId="4D448F2D" w14:textId="77777777" w:rsidTr="0064726E">
        <w:trPr>
          <w:trHeight w:val="300"/>
        </w:trPr>
        <w:tc>
          <w:tcPr>
            <w:tcW w:w="1582" w:type="dxa"/>
            <w:shd w:val="clear" w:color="auto" w:fill="000000" w:themeFill="text1"/>
            <w:hideMark/>
          </w:tcPr>
          <w:p w14:paraId="42AEA430" w14:textId="77777777" w:rsidR="00C33D6E" w:rsidRPr="00BB7EEC" w:rsidRDefault="00C33D6E" w:rsidP="00C33D6E">
            <w:pPr>
              <w:rPr>
                <w:b/>
                <w:bCs/>
              </w:rPr>
            </w:pPr>
            <w:r w:rsidRPr="00BB7EEC">
              <w:rPr>
                <w:b/>
                <w:bCs/>
              </w:rPr>
              <w:t>Framework Name</w:t>
            </w:r>
          </w:p>
        </w:tc>
        <w:tc>
          <w:tcPr>
            <w:tcW w:w="956" w:type="dxa"/>
            <w:shd w:val="clear" w:color="auto" w:fill="000000" w:themeFill="text1"/>
            <w:hideMark/>
          </w:tcPr>
          <w:p w14:paraId="40DD9EFA" w14:textId="77777777" w:rsidR="00C33D6E" w:rsidRPr="00BB7EEC" w:rsidRDefault="00C33D6E" w:rsidP="00C33D6E">
            <w:pPr>
              <w:rPr>
                <w:b/>
                <w:bCs/>
              </w:rPr>
            </w:pPr>
            <w:r w:rsidRPr="00BB7EEC">
              <w:rPr>
                <w:b/>
                <w:bCs/>
              </w:rPr>
              <w:t>Origin</w:t>
            </w:r>
          </w:p>
        </w:tc>
        <w:tc>
          <w:tcPr>
            <w:tcW w:w="2365" w:type="dxa"/>
            <w:shd w:val="clear" w:color="auto" w:fill="000000" w:themeFill="text1"/>
            <w:hideMark/>
          </w:tcPr>
          <w:p w14:paraId="1128B8FC" w14:textId="77777777" w:rsidR="00C33D6E" w:rsidRPr="00BB7EEC" w:rsidRDefault="00C33D6E" w:rsidP="00C33D6E">
            <w:pPr>
              <w:rPr>
                <w:b/>
                <w:bCs/>
              </w:rPr>
            </w:pPr>
            <w:r w:rsidRPr="00BB7EEC">
              <w:rPr>
                <w:b/>
                <w:bCs/>
              </w:rPr>
              <w:t>Purpose</w:t>
            </w:r>
          </w:p>
        </w:tc>
        <w:tc>
          <w:tcPr>
            <w:tcW w:w="4452" w:type="dxa"/>
            <w:shd w:val="clear" w:color="auto" w:fill="000000" w:themeFill="text1"/>
            <w:hideMark/>
          </w:tcPr>
          <w:p w14:paraId="624D5F0E" w14:textId="77777777" w:rsidR="00C33D6E" w:rsidRPr="00BB7EEC" w:rsidRDefault="00C33D6E" w:rsidP="00C33D6E">
            <w:pPr>
              <w:rPr>
                <w:b/>
                <w:bCs/>
              </w:rPr>
            </w:pPr>
            <w:r w:rsidRPr="00BB7EEC">
              <w:rPr>
                <w:b/>
                <w:bCs/>
              </w:rPr>
              <w:t>Key Focus Areas / Dimensions</w:t>
            </w:r>
          </w:p>
        </w:tc>
      </w:tr>
      <w:tr w:rsidR="00C33D6E" w:rsidRPr="00BB7EEC" w14:paraId="4F0B40E2" w14:textId="77777777" w:rsidTr="00BD4710">
        <w:trPr>
          <w:trHeight w:val="300"/>
        </w:trPr>
        <w:tc>
          <w:tcPr>
            <w:tcW w:w="1582" w:type="dxa"/>
            <w:hideMark/>
          </w:tcPr>
          <w:p w14:paraId="5A358B2F" w14:textId="77777777" w:rsidR="00C33D6E" w:rsidRPr="00BB7EEC" w:rsidRDefault="00C33D6E" w:rsidP="00BD4710">
            <w:pPr>
              <w:spacing w:after="160" w:line="259" w:lineRule="auto"/>
              <w:rPr>
                <w:rFonts w:cs="Arial"/>
              </w:rPr>
            </w:pPr>
            <w:r w:rsidRPr="00BB7EEC">
              <w:rPr>
                <w:rFonts w:cs="Arial"/>
              </w:rPr>
              <w:t>Welcoming Cities</w:t>
            </w:r>
          </w:p>
        </w:tc>
        <w:tc>
          <w:tcPr>
            <w:tcW w:w="956" w:type="dxa"/>
            <w:hideMark/>
          </w:tcPr>
          <w:p w14:paraId="5329821C" w14:textId="77777777" w:rsidR="00C33D6E" w:rsidRPr="00BB7EEC" w:rsidRDefault="00C33D6E" w:rsidP="00BD4710">
            <w:pPr>
              <w:spacing w:after="160" w:line="259" w:lineRule="auto"/>
              <w:rPr>
                <w:rFonts w:cs="Arial"/>
              </w:rPr>
            </w:pPr>
            <w:r w:rsidRPr="00BB7EEC">
              <w:rPr>
                <w:rFonts w:cs="Arial"/>
              </w:rPr>
              <w:t>Australia</w:t>
            </w:r>
          </w:p>
        </w:tc>
        <w:tc>
          <w:tcPr>
            <w:tcW w:w="2365" w:type="dxa"/>
            <w:hideMark/>
          </w:tcPr>
          <w:p w14:paraId="7A71458F" w14:textId="77777777" w:rsidR="00C33D6E" w:rsidRPr="00BB7EEC" w:rsidRDefault="00C33D6E" w:rsidP="00BD4710">
            <w:pPr>
              <w:spacing w:after="160" w:line="259" w:lineRule="auto"/>
              <w:rPr>
                <w:rFonts w:cs="Arial"/>
              </w:rPr>
            </w:pPr>
            <w:r w:rsidRPr="00BB7EEC">
              <w:rPr>
                <w:rFonts w:cs="Arial"/>
              </w:rPr>
              <w:t>Supports local governments in fostering inclusive, welcoming communities.</w:t>
            </w:r>
          </w:p>
        </w:tc>
        <w:tc>
          <w:tcPr>
            <w:tcW w:w="4452" w:type="dxa"/>
            <w:hideMark/>
          </w:tcPr>
          <w:p w14:paraId="66867389" w14:textId="77777777" w:rsidR="00C33D6E" w:rsidRPr="00BB7EEC" w:rsidRDefault="00C33D6E" w:rsidP="00BD4710">
            <w:pPr>
              <w:spacing w:after="160" w:line="259" w:lineRule="auto"/>
              <w:rPr>
                <w:rFonts w:cs="Arial"/>
              </w:rPr>
            </w:pPr>
            <w:r w:rsidRPr="00BB7EEC">
              <w:rPr>
                <w:rFonts w:cs="Arial"/>
              </w:rPr>
              <w:t>Leadership, Social &amp; Cultural Inclusion, Economic Development, Civic Participation, Places &amp; Spaces, Planning &amp; Evaluation</w:t>
            </w:r>
          </w:p>
        </w:tc>
      </w:tr>
      <w:tr w:rsidR="00C33D6E" w:rsidRPr="00BB7EEC" w14:paraId="023E3502" w14:textId="77777777" w:rsidTr="00BD4710">
        <w:trPr>
          <w:trHeight w:val="300"/>
        </w:trPr>
        <w:tc>
          <w:tcPr>
            <w:tcW w:w="1582" w:type="dxa"/>
            <w:hideMark/>
          </w:tcPr>
          <w:p w14:paraId="7DC51070" w14:textId="77777777" w:rsidR="00C33D6E" w:rsidRPr="00BB7EEC" w:rsidRDefault="00C33D6E" w:rsidP="00BD4710">
            <w:pPr>
              <w:spacing w:after="160" w:line="259" w:lineRule="auto"/>
              <w:rPr>
                <w:rFonts w:cs="Arial"/>
              </w:rPr>
            </w:pPr>
            <w:r w:rsidRPr="00BB7EEC">
              <w:rPr>
                <w:rFonts w:cs="Arial"/>
              </w:rPr>
              <w:t>Intercultural Cities</w:t>
            </w:r>
          </w:p>
        </w:tc>
        <w:tc>
          <w:tcPr>
            <w:tcW w:w="956" w:type="dxa"/>
            <w:hideMark/>
          </w:tcPr>
          <w:p w14:paraId="0C149FF0" w14:textId="77777777" w:rsidR="00C33D6E" w:rsidRPr="00BB7EEC" w:rsidRDefault="00C33D6E" w:rsidP="00BD4710">
            <w:pPr>
              <w:spacing w:after="160" w:line="259" w:lineRule="auto"/>
              <w:rPr>
                <w:rFonts w:cs="Arial"/>
              </w:rPr>
            </w:pPr>
            <w:r w:rsidRPr="00BB7EEC">
              <w:rPr>
                <w:rFonts w:cs="Arial"/>
              </w:rPr>
              <w:t>Council of Europe</w:t>
            </w:r>
          </w:p>
        </w:tc>
        <w:tc>
          <w:tcPr>
            <w:tcW w:w="2365" w:type="dxa"/>
            <w:hideMark/>
          </w:tcPr>
          <w:p w14:paraId="0E48686C" w14:textId="77777777" w:rsidR="00C33D6E" w:rsidRPr="00BB7EEC" w:rsidRDefault="00C33D6E" w:rsidP="00BD4710">
            <w:pPr>
              <w:spacing w:after="160" w:line="259" w:lineRule="auto"/>
              <w:rPr>
                <w:rFonts w:cs="Arial"/>
              </w:rPr>
            </w:pPr>
            <w:r w:rsidRPr="00BB7EEC">
              <w:rPr>
                <w:rFonts w:cs="Arial"/>
              </w:rPr>
              <w:t>Helps cities adopt intercultural strategies to manage diversity positively.</w:t>
            </w:r>
          </w:p>
        </w:tc>
        <w:tc>
          <w:tcPr>
            <w:tcW w:w="4452" w:type="dxa"/>
            <w:hideMark/>
          </w:tcPr>
          <w:p w14:paraId="0ADAAD7C" w14:textId="77777777" w:rsidR="00C33D6E" w:rsidRPr="00BB7EEC" w:rsidRDefault="00C33D6E" w:rsidP="00BD4710">
            <w:pPr>
              <w:spacing w:after="160" w:line="259" w:lineRule="auto"/>
              <w:rPr>
                <w:rFonts w:cs="Arial"/>
              </w:rPr>
            </w:pPr>
            <w:r w:rsidRPr="00BB7EEC">
              <w:rPr>
                <w:rFonts w:cs="Arial"/>
              </w:rPr>
              <w:t>Commitment, Education, Neighbourhoods, Public Services, Business &amp; Employment, Cultural &amp; Social Life, Public Spaces, Mediation &amp; Conflict Resolution, Language, Media &amp; Communication, International Outlook, Participation, Anti-discrimination, Evaluation</w:t>
            </w:r>
          </w:p>
        </w:tc>
      </w:tr>
      <w:tr w:rsidR="00C33D6E" w:rsidRPr="00BB7EEC" w14:paraId="26E0562B" w14:textId="77777777" w:rsidTr="00BD4710">
        <w:trPr>
          <w:trHeight w:val="300"/>
        </w:trPr>
        <w:tc>
          <w:tcPr>
            <w:tcW w:w="1582" w:type="dxa"/>
            <w:hideMark/>
          </w:tcPr>
          <w:p w14:paraId="278441BB" w14:textId="77777777" w:rsidR="00C33D6E" w:rsidRPr="00BB7EEC" w:rsidRDefault="00C33D6E" w:rsidP="00BD4710">
            <w:pPr>
              <w:spacing w:after="160" w:line="259" w:lineRule="auto"/>
              <w:rPr>
                <w:rFonts w:cs="Arial"/>
              </w:rPr>
            </w:pPr>
            <w:r w:rsidRPr="00BB7EEC">
              <w:rPr>
                <w:rFonts w:cs="Arial"/>
              </w:rPr>
              <w:t>Belong Network – Communities of Practice</w:t>
            </w:r>
          </w:p>
        </w:tc>
        <w:tc>
          <w:tcPr>
            <w:tcW w:w="956" w:type="dxa"/>
            <w:hideMark/>
          </w:tcPr>
          <w:p w14:paraId="17DA58AA" w14:textId="77777777" w:rsidR="00C33D6E" w:rsidRPr="00BB7EEC" w:rsidRDefault="00C33D6E" w:rsidP="00BD4710">
            <w:pPr>
              <w:spacing w:after="160" w:line="259" w:lineRule="auto"/>
              <w:rPr>
                <w:rFonts w:cs="Arial"/>
              </w:rPr>
            </w:pPr>
            <w:r w:rsidRPr="00BB7EEC">
              <w:rPr>
                <w:rFonts w:cs="Arial"/>
              </w:rPr>
              <w:t>United Kingdom</w:t>
            </w:r>
          </w:p>
        </w:tc>
        <w:tc>
          <w:tcPr>
            <w:tcW w:w="2365" w:type="dxa"/>
            <w:hideMark/>
          </w:tcPr>
          <w:p w14:paraId="2E881EF1" w14:textId="77777777" w:rsidR="00C33D6E" w:rsidRPr="00BB7EEC" w:rsidRDefault="00C33D6E" w:rsidP="00BD4710">
            <w:pPr>
              <w:spacing w:after="160" w:line="259" w:lineRule="auto"/>
              <w:rPr>
                <w:rFonts w:cs="Arial"/>
              </w:rPr>
            </w:pPr>
            <w:r w:rsidRPr="00BB7EEC">
              <w:rPr>
                <w:rFonts w:cs="Arial"/>
              </w:rPr>
              <w:t>Focuses on social cohesion through shared learning among practitioners, policymakers, and researchers.</w:t>
            </w:r>
          </w:p>
        </w:tc>
        <w:tc>
          <w:tcPr>
            <w:tcW w:w="4452" w:type="dxa"/>
            <w:hideMark/>
          </w:tcPr>
          <w:p w14:paraId="3717CB55" w14:textId="77777777" w:rsidR="00C33D6E" w:rsidRPr="00BB7EEC" w:rsidRDefault="00C33D6E" w:rsidP="00BD4710">
            <w:pPr>
              <w:spacing w:after="160" w:line="259" w:lineRule="auto"/>
              <w:rPr>
                <w:rFonts w:cs="Arial"/>
              </w:rPr>
            </w:pPr>
            <w:r w:rsidRPr="00BB7EEC">
              <w:rPr>
                <w:rFonts w:cs="Arial"/>
              </w:rPr>
              <w:t>Connection &amp; Belonging, Trust in Institutions, Inclusive Narratives, Civic Participation, Reducing Polarisation, Cultural Programming, Measurement &amp; Evaluation</w:t>
            </w:r>
          </w:p>
        </w:tc>
      </w:tr>
    </w:tbl>
    <w:p w14:paraId="1D2F2DB0" w14:textId="6D4D1908" w:rsidR="00C33D6E" w:rsidRPr="00AD3153" w:rsidRDefault="00C33D6E" w:rsidP="00CC49B7">
      <w:pPr>
        <w:pStyle w:val="Heading3"/>
        <w:rPr>
          <w:sz w:val="22"/>
          <w:szCs w:val="22"/>
        </w:rPr>
      </w:pPr>
      <w:bookmarkStart w:id="14" w:name="_Toc210296863"/>
      <w:r>
        <w:t xml:space="preserve">Strategic </w:t>
      </w:r>
      <w:r w:rsidRPr="00683AC7">
        <w:t>Opportunities</w:t>
      </w:r>
      <w:bookmarkEnd w:id="14"/>
      <w:r w:rsidRPr="00683AC7">
        <w:rPr>
          <w:sz w:val="22"/>
          <w:szCs w:val="22"/>
        </w:rPr>
        <w:t xml:space="preserve"> </w:t>
      </w:r>
    </w:p>
    <w:p w14:paraId="35F88969" w14:textId="77777777" w:rsidR="00C33D6E" w:rsidRPr="00683AC7" w:rsidRDefault="00C33D6E" w:rsidP="00C33D6E">
      <w:pPr>
        <w:rPr>
          <w:rFonts w:cs="Arial"/>
        </w:rPr>
      </w:pPr>
      <w:r w:rsidRPr="00683AC7">
        <w:rPr>
          <w:rFonts w:cs="Arial"/>
        </w:rPr>
        <w:t xml:space="preserve">In developing the multicultural strategy, recent policy developments at both Federal and State levels, particularly around best practice in multiculturalism and anti-racism, present valuable opportunities for Council to build upon and explore further. </w:t>
      </w:r>
    </w:p>
    <w:p w14:paraId="1ABC5E22" w14:textId="77777777" w:rsidR="00C33D6E" w:rsidRPr="00683AC7" w:rsidRDefault="00C33D6E" w:rsidP="00C33D6E">
      <w:pPr>
        <w:pStyle w:val="ListParagraph"/>
        <w:numPr>
          <w:ilvl w:val="0"/>
          <w:numId w:val="15"/>
        </w:numPr>
        <w:spacing w:line="288" w:lineRule="auto"/>
        <w:rPr>
          <w:rFonts w:ascii="Arial" w:hAnsi="Arial" w:cs="Arial"/>
        </w:rPr>
      </w:pPr>
      <w:r w:rsidRPr="00683AC7">
        <w:rPr>
          <w:rFonts w:ascii="Arial" w:hAnsi="Arial" w:cs="Arial"/>
          <w:b/>
          <w:bCs/>
        </w:rPr>
        <w:t>Multicultural Framework Review (Australian Government, 2024</w:t>
      </w:r>
      <w:r w:rsidRPr="00683AC7">
        <w:rPr>
          <w:rFonts w:ascii="Arial" w:hAnsi="Arial" w:cs="Arial"/>
        </w:rPr>
        <w:t>): A national reform agenda to modernise multicultural policy, emphasising shared responsibility, inclusive identity, and culturally responsive services.</w:t>
      </w:r>
    </w:p>
    <w:p w14:paraId="477401C9" w14:textId="77777777" w:rsidR="00C33D6E" w:rsidRPr="00683AC7" w:rsidRDefault="00C33D6E" w:rsidP="00C33D6E">
      <w:pPr>
        <w:pStyle w:val="ListParagraph"/>
        <w:spacing w:line="288" w:lineRule="auto"/>
        <w:rPr>
          <w:rFonts w:ascii="Arial" w:hAnsi="Arial" w:cs="Arial"/>
        </w:rPr>
      </w:pPr>
      <w:r w:rsidRPr="00683AC7">
        <w:rPr>
          <w:rFonts w:ascii="Arial" w:hAnsi="Arial" w:cs="Arial"/>
        </w:rPr>
        <w:lastRenderedPageBreak/>
        <w:t>→ Councils are encouraged to co-design services with diverse communities, embed intersectional approaches, invest in cultural programs, and promote national celebrations like Harmony Week and the UN Day for the Elimination of Racial Discrimination.</w:t>
      </w:r>
    </w:p>
    <w:p w14:paraId="48756824" w14:textId="77777777" w:rsidR="00C33D6E" w:rsidRPr="00683AC7" w:rsidRDefault="00C33D6E" w:rsidP="00C33D6E">
      <w:pPr>
        <w:pStyle w:val="ListParagraph"/>
        <w:numPr>
          <w:ilvl w:val="0"/>
          <w:numId w:val="15"/>
        </w:numPr>
        <w:spacing w:line="288" w:lineRule="auto"/>
        <w:rPr>
          <w:rFonts w:ascii="Arial" w:hAnsi="Arial" w:cs="Arial"/>
        </w:rPr>
      </w:pPr>
      <w:r w:rsidRPr="00683AC7">
        <w:rPr>
          <w:rFonts w:ascii="Arial" w:hAnsi="Arial" w:cs="Arial"/>
          <w:b/>
          <w:bCs/>
        </w:rPr>
        <w:t>Victorian Multicultural Review (2024–2025):</w:t>
      </w:r>
      <w:r w:rsidRPr="00683AC7">
        <w:rPr>
          <w:rFonts w:ascii="Arial" w:hAnsi="Arial" w:cs="Arial"/>
        </w:rPr>
        <w:t xml:space="preserve"> A statewide review resulting in 41 recommendations and new commitments, including a statutory body (Multicultural Victoria), a whole-of-government strategy, and targeted funding for multicultural organisations and museums.</w:t>
      </w:r>
    </w:p>
    <w:p w14:paraId="5B290B09" w14:textId="77777777" w:rsidR="00C33D6E" w:rsidRPr="00683AC7" w:rsidRDefault="00C33D6E" w:rsidP="00C33D6E">
      <w:pPr>
        <w:pStyle w:val="ListParagraph"/>
        <w:spacing w:line="288" w:lineRule="auto"/>
        <w:rPr>
          <w:rFonts w:ascii="Arial" w:hAnsi="Arial" w:cs="Arial"/>
        </w:rPr>
      </w:pPr>
      <w:r w:rsidRPr="00683AC7">
        <w:rPr>
          <w:rFonts w:ascii="Arial" w:hAnsi="Arial" w:cs="Arial"/>
        </w:rPr>
        <w:t>→ Councils are encouraged to embed multiculturalism across departments, co-design policies with communities, promote anti-racism and inclusive safety, invest in grassroots organisations, and improve access to high-quality language services.</w:t>
      </w:r>
    </w:p>
    <w:p w14:paraId="50994FEE" w14:textId="77777777" w:rsidR="00C33D6E" w:rsidRPr="00683AC7" w:rsidRDefault="00C33D6E" w:rsidP="00C33D6E">
      <w:pPr>
        <w:pStyle w:val="ListParagraph"/>
        <w:numPr>
          <w:ilvl w:val="0"/>
          <w:numId w:val="15"/>
        </w:numPr>
        <w:spacing w:line="288" w:lineRule="auto"/>
        <w:rPr>
          <w:rFonts w:ascii="Arial" w:hAnsi="Arial" w:cs="Arial"/>
        </w:rPr>
      </w:pPr>
      <w:r w:rsidRPr="00683AC7">
        <w:rPr>
          <w:rFonts w:ascii="Arial" w:hAnsi="Arial" w:cs="Arial"/>
          <w:b/>
          <w:bCs/>
        </w:rPr>
        <w:t>National Anti-Racism Framework (AHRC)</w:t>
      </w:r>
      <w:r w:rsidRPr="00683AC7">
        <w:rPr>
          <w:rFonts w:ascii="Arial" w:hAnsi="Arial" w:cs="Arial"/>
        </w:rPr>
        <w:t>: Provides 63 recommendations for eliminating racism, with emphasis on place-based, community-led approaches and inclusive service delivery.</w:t>
      </w:r>
      <w:r w:rsidRPr="00683AC7">
        <w:rPr>
          <w:rFonts w:ascii="Arial" w:hAnsi="Arial" w:cs="Arial"/>
        </w:rPr>
        <w:br/>
        <w:t>→ Councils can use the framework to audit local policies, co-design services with diverse communities, and collect data on racism to inform targeted responses.</w:t>
      </w:r>
    </w:p>
    <w:p w14:paraId="249C3A60" w14:textId="77777777" w:rsidR="00C33D6E" w:rsidRPr="00683AC7" w:rsidRDefault="00C33D6E" w:rsidP="00C33D6E">
      <w:pPr>
        <w:pStyle w:val="ListParagraph"/>
        <w:numPr>
          <w:ilvl w:val="0"/>
          <w:numId w:val="15"/>
        </w:numPr>
        <w:spacing w:line="288" w:lineRule="auto"/>
        <w:rPr>
          <w:rFonts w:ascii="Arial" w:hAnsi="Arial" w:cs="Arial"/>
        </w:rPr>
      </w:pPr>
      <w:r w:rsidRPr="00683AC7">
        <w:rPr>
          <w:rFonts w:ascii="Arial" w:hAnsi="Arial" w:cs="Arial"/>
          <w:b/>
          <w:bCs/>
        </w:rPr>
        <w:t>Victoria’s Anti-Racism Strategy 2024–2029</w:t>
      </w:r>
      <w:r w:rsidRPr="00683AC7">
        <w:rPr>
          <w:rFonts w:ascii="Arial" w:hAnsi="Arial" w:cs="Arial"/>
        </w:rPr>
        <w:t>: A 5-year plan supporting councils through grants, education, and partnerships with multicultural and First Nations communities.</w:t>
      </w:r>
      <w:r w:rsidRPr="00683AC7">
        <w:rPr>
          <w:rFonts w:ascii="Arial" w:hAnsi="Arial" w:cs="Arial"/>
        </w:rPr>
        <w:br/>
        <w:t>→ Councils are encouraged to apply for funding, promote anti-racism education, and collaborate with the Anti-Racism Taskforce to embed equity in local programs.</w:t>
      </w:r>
    </w:p>
    <w:p w14:paraId="2782D05E" w14:textId="486683E8" w:rsidR="00C33D6E" w:rsidRPr="00C33D6E" w:rsidRDefault="00C33D6E" w:rsidP="00C33D6E">
      <w:pPr>
        <w:pStyle w:val="Heading2"/>
      </w:pPr>
      <w:bookmarkStart w:id="15" w:name="_Toc210296864"/>
      <w:r>
        <w:t>Conclusion</w:t>
      </w:r>
      <w:bookmarkEnd w:id="15"/>
      <w:r>
        <w:t xml:space="preserve"> </w:t>
      </w:r>
    </w:p>
    <w:p w14:paraId="49A4F4A9" w14:textId="3F0F2BD3" w:rsidR="00B8421D" w:rsidRDefault="00C33D6E" w:rsidP="007B13D5">
      <w:r w:rsidRPr="00683AC7">
        <w:rPr>
          <w:rFonts w:cs="Arial"/>
        </w:rPr>
        <w:t xml:space="preserve">The City of Port Phillip stands at a pivotal moment in shaping a Multicultural Strategy that reflects its rich diversity, honours First Nations sovereignty, and responds to contemporary challenges. This paper has outlined the historical context, current practices, policy frameworks, and strategic opportunities that will guide the development of a strategy rooted in inclusion, equity, and social cohesion. By embracing intersectionality, strengthening community partnerships, and aligning with national and global best practices, Council can ensure that multiculturalism is not only celebrated but addresses inequality and racism. </w:t>
      </w:r>
    </w:p>
    <w:sectPr w:rsidR="00B8421D" w:rsidSect="008D5175">
      <w:headerReference w:type="even" r:id="rId18"/>
      <w:headerReference w:type="default" r:id="rId19"/>
      <w:footerReference w:type="even" r:id="rId20"/>
      <w:footerReference w:type="default" r:id="rId21"/>
      <w:pgSz w:w="11906" w:h="16838"/>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421E4" w14:textId="77777777" w:rsidR="00C33D6E" w:rsidRDefault="00C33D6E" w:rsidP="00873A5B">
      <w:pPr>
        <w:spacing w:after="0" w:line="240" w:lineRule="auto"/>
      </w:pPr>
      <w:r>
        <w:separator/>
      </w:r>
    </w:p>
  </w:endnote>
  <w:endnote w:type="continuationSeparator" w:id="0">
    <w:p w14:paraId="3A3928EB" w14:textId="77777777" w:rsidR="00C33D6E" w:rsidRDefault="00C33D6E" w:rsidP="00873A5B">
      <w:pPr>
        <w:spacing w:after="0" w:line="240" w:lineRule="auto"/>
      </w:pPr>
      <w:r>
        <w:continuationSeparator/>
      </w:r>
    </w:p>
  </w:endnote>
  <w:endnote w:type="continuationNotice" w:id="1">
    <w:p w14:paraId="5DAD92FB" w14:textId="77777777" w:rsidR="00F9635E" w:rsidRDefault="00F963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2DC15" w14:textId="353D0DB2" w:rsidR="00147C38" w:rsidRPr="002E32FD" w:rsidRDefault="00F3339B" w:rsidP="00F3339B">
    <w:pPr>
      <w:pStyle w:val="Footer"/>
      <w:tabs>
        <w:tab w:val="clear" w:pos="4513"/>
        <w:tab w:val="clear" w:pos="9026"/>
        <w:tab w:val="right" w:pos="9639"/>
      </w:tabs>
      <w:rPr>
        <w:sz w:val="18"/>
        <w:szCs w:val="18"/>
      </w:rPr>
    </w:pPr>
    <w:r w:rsidRPr="002E32FD">
      <w:rPr>
        <w:sz w:val="18"/>
        <w:szCs w:val="18"/>
      </w:rPr>
      <w:t xml:space="preserve">Version </w:t>
    </w:r>
    <w:r w:rsidR="00CC49B7">
      <w:rPr>
        <w:sz w:val="18"/>
        <w:szCs w:val="18"/>
      </w:rPr>
      <w:t>2</w:t>
    </w:r>
    <w:r w:rsidRPr="002E32FD">
      <w:rPr>
        <w:sz w:val="18"/>
        <w:szCs w:val="18"/>
      </w:rPr>
      <w:t xml:space="preserve">, </w:t>
    </w:r>
    <w:r w:rsidR="00C015E3">
      <w:rPr>
        <w:sz w:val="18"/>
        <w:szCs w:val="18"/>
      </w:rPr>
      <w:t>02</w:t>
    </w:r>
    <w:r w:rsidR="00480AB5">
      <w:rPr>
        <w:sz w:val="18"/>
        <w:szCs w:val="18"/>
      </w:rPr>
      <w:t>/</w:t>
    </w:r>
    <w:r w:rsidR="00CC49B7">
      <w:rPr>
        <w:sz w:val="18"/>
        <w:szCs w:val="18"/>
      </w:rPr>
      <w:t>10</w:t>
    </w:r>
    <w:r w:rsidR="00480AB5">
      <w:rPr>
        <w:sz w:val="18"/>
        <w:szCs w:val="18"/>
      </w:rPr>
      <w:t>/</w:t>
    </w:r>
    <w:r w:rsidR="00CC49B7">
      <w:rPr>
        <w:sz w:val="18"/>
        <w:szCs w:val="18"/>
      </w:rPr>
      <w:t>2025</w:t>
    </w:r>
    <w:r w:rsidRPr="002E32FD">
      <w:rPr>
        <w:sz w:val="18"/>
        <w:szCs w:val="18"/>
      </w:rPr>
      <w:tab/>
    </w:r>
    <w:r w:rsidRPr="002E32FD">
      <w:rPr>
        <w:sz w:val="18"/>
        <w:szCs w:val="18"/>
      </w:rPr>
      <w:fldChar w:fldCharType="begin"/>
    </w:r>
    <w:r w:rsidRPr="002E32FD">
      <w:rPr>
        <w:sz w:val="18"/>
        <w:szCs w:val="18"/>
      </w:rPr>
      <w:instrText xml:space="preserve"> PAGE   \* MERGEFORMAT </w:instrText>
    </w:r>
    <w:r w:rsidRPr="002E32FD">
      <w:rPr>
        <w:sz w:val="18"/>
        <w:szCs w:val="18"/>
      </w:rPr>
      <w:fldChar w:fldCharType="separate"/>
    </w:r>
    <w:r w:rsidRPr="002E32FD">
      <w:rPr>
        <w:noProof/>
        <w:sz w:val="18"/>
        <w:szCs w:val="18"/>
      </w:rPr>
      <w:t>1</w:t>
    </w:r>
    <w:r w:rsidRPr="002E32FD">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85F13" w14:textId="33353DBD" w:rsidR="004B0453" w:rsidRPr="002E32FD" w:rsidRDefault="00F3339B" w:rsidP="00A30B39">
    <w:pPr>
      <w:pStyle w:val="Footer"/>
      <w:tabs>
        <w:tab w:val="clear" w:pos="4513"/>
        <w:tab w:val="clear" w:pos="9026"/>
        <w:tab w:val="left" w:pos="2760"/>
        <w:tab w:val="right" w:pos="9639"/>
      </w:tabs>
      <w:rPr>
        <w:sz w:val="18"/>
        <w:szCs w:val="18"/>
      </w:rPr>
    </w:pPr>
    <w:r w:rsidRPr="002E32FD">
      <w:rPr>
        <w:sz w:val="18"/>
        <w:szCs w:val="18"/>
      </w:rPr>
      <w:t xml:space="preserve">Version </w:t>
    </w:r>
    <w:r w:rsidR="00CC49B7">
      <w:rPr>
        <w:sz w:val="18"/>
        <w:szCs w:val="18"/>
      </w:rPr>
      <w:t>2</w:t>
    </w:r>
    <w:r w:rsidRPr="002E32FD">
      <w:rPr>
        <w:sz w:val="18"/>
        <w:szCs w:val="18"/>
      </w:rPr>
      <w:t xml:space="preserve">, </w:t>
    </w:r>
    <w:r w:rsidR="00CC49B7">
      <w:rPr>
        <w:sz w:val="18"/>
        <w:szCs w:val="18"/>
      </w:rPr>
      <w:t>02</w:t>
    </w:r>
    <w:r w:rsidR="00480AB5">
      <w:rPr>
        <w:sz w:val="18"/>
        <w:szCs w:val="18"/>
      </w:rPr>
      <w:t>/</w:t>
    </w:r>
    <w:r w:rsidR="00CC49B7">
      <w:rPr>
        <w:sz w:val="18"/>
        <w:szCs w:val="18"/>
      </w:rPr>
      <w:t>10</w:t>
    </w:r>
    <w:r w:rsidR="00480AB5">
      <w:rPr>
        <w:sz w:val="18"/>
        <w:szCs w:val="18"/>
      </w:rPr>
      <w:t>/</w:t>
    </w:r>
    <w:r w:rsidR="00CC49B7">
      <w:rPr>
        <w:sz w:val="18"/>
        <w:szCs w:val="18"/>
      </w:rPr>
      <w:t>2025</w:t>
    </w:r>
    <w:r w:rsidRPr="002E32FD">
      <w:rPr>
        <w:sz w:val="18"/>
        <w:szCs w:val="18"/>
      </w:rPr>
      <w:tab/>
    </w:r>
    <w:r w:rsidR="00A30B39">
      <w:rPr>
        <w:sz w:val="18"/>
        <w:szCs w:val="18"/>
      </w:rPr>
      <w:tab/>
    </w:r>
    <w:r w:rsidRPr="002E32FD">
      <w:rPr>
        <w:sz w:val="18"/>
        <w:szCs w:val="18"/>
      </w:rPr>
      <w:fldChar w:fldCharType="begin"/>
    </w:r>
    <w:r w:rsidRPr="002E32FD">
      <w:rPr>
        <w:sz w:val="18"/>
        <w:szCs w:val="18"/>
      </w:rPr>
      <w:instrText xml:space="preserve"> PAGE   \* MERGEFORMAT </w:instrText>
    </w:r>
    <w:r w:rsidRPr="002E32FD">
      <w:rPr>
        <w:sz w:val="18"/>
        <w:szCs w:val="18"/>
      </w:rPr>
      <w:fldChar w:fldCharType="separate"/>
    </w:r>
    <w:r w:rsidRPr="002E32FD">
      <w:rPr>
        <w:sz w:val="18"/>
        <w:szCs w:val="18"/>
      </w:rPr>
      <w:t>2</w:t>
    </w:r>
    <w:r w:rsidRPr="002E32FD">
      <w:rPr>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4F715" w14:textId="77777777" w:rsidR="002E32FD" w:rsidRDefault="002E32FD" w:rsidP="00F3339B">
    <w:pPr>
      <w:pStyle w:val="Footer"/>
      <w:tabs>
        <w:tab w:val="clear" w:pos="4513"/>
        <w:tab w:val="clear" w:pos="9026"/>
        <w:tab w:val="right" w:pos="9639"/>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BA1A7" w14:textId="77777777" w:rsidR="00A30B39" w:rsidRPr="00434E22" w:rsidRDefault="00A30B39" w:rsidP="00434E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E1A3F" w14:textId="77777777" w:rsidR="00C33D6E" w:rsidRDefault="00C33D6E" w:rsidP="00873A5B">
      <w:pPr>
        <w:spacing w:after="0" w:line="240" w:lineRule="auto"/>
      </w:pPr>
      <w:r>
        <w:separator/>
      </w:r>
    </w:p>
  </w:footnote>
  <w:footnote w:type="continuationSeparator" w:id="0">
    <w:p w14:paraId="524D3642" w14:textId="77777777" w:rsidR="00C33D6E" w:rsidRDefault="00C33D6E" w:rsidP="00873A5B">
      <w:pPr>
        <w:spacing w:after="0" w:line="240" w:lineRule="auto"/>
      </w:pPr>
      <w:r>
        <w:continuationSeparator/>
      </w:r>
    </w:p>
  </w:footnote>
  <w:footnote w:type="continuationNotice" w:id="1">
    <w:p w14:paraId="3D0E262F" w14:textId="77777777" w:rsidR="00F9635E" w:rsidRDefault="00F963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208E7" w14:textId="77777777" w:rsidR="004B0453" w:rsidRPr="00BD0F6D" w:rsidRDefault="00147C38" w:rsidP="004B0453">
    <w:pPr>
      <w:rPr>
        <w:color w:val="FFFFFF" w:themeColor="background1"/>
      </w:rPr>
    </w:pPr>
    <w:r>
      <w:rPr>
        <w:noProof/>
      </w:rPr>
      <w:drawing>
        <wp:anchor distT="0" distB="0" distL="114300" distR="114300" simplePos="0" relativeHeight="251658241" behindDoc="1" locked="0" layoutInCell="1" allowOverlap="1" wp14:anchorId="11EA7A2B" wp14:editId="6B5D8FAC">
          <wp:simplePos x="0" y="0"/>
          <wp:positionH relativeFrom="column">
            <wp:posOffset>-713740</wp:posOffset>
          </wp:positionH>
          <wp:positionV relativeFrom="paragraph">
            <wp:posOffset>-450215</wp:posOffset>
          </wp:positionV>
          <wp:extent cx="7559996" cy="1079128"/>
          <wp:effectExtent l="0" t="0" r="3175" b="698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96" cy="1079128"/>
                  </a:xfrm>
                  <a:prstGeom prst="rect">
                    <a:avLst/>
                  </a:prstGeom>
                </pic:spPr>
              </pic:pic>
            </a:graphicData>
          </a:graphic>
          <wp14:sizeRelH relativeFrom="margin">
            <wp14:pctWidth>0</wp14:pctWidth>
          </wp14:sizeRelH>
          <wp14:sizeRelV relativeFrom="margin">
            <wp14:pctHeight>0</wp14:pctHeight>
          </wp14:sizeRelV>
        </wp:anchor>
      </w:drawing>
    </w:r>
    <w:r w:rsidR="004B0453" w:rsidRPr="00BD0F6D">
      <w:rPr>
        <w:color w:val="FFFFFF" w:themeColor="background1"/>
      </w:rPr>
      <w:t xml:space="preserve">City of Port Phillip </w:t>
    </w:r>
    <w:bookmarkStart w:id="0" w:name="_Hlk127955566"/>
    <w:r w:rsidR="004B0453" w:rsidRPr="00F414C9">
      <w:rPr>
        <w:b/>
        <w:bCs/>
        <w:color w:val="FFFFFF" w:themeColor="background1"/>
      </w:rPr>
      <w:t>&lt;Name of document&gt;</w:t>
    </w:r>
    <w:bookmarkEnd w:id="0"/>
  </w:p>
  <w:p w14:paraId="602C6DC4" w14:textId="77777777" w:rsidR="004B0453" w:rsidRDefault="004B0453" w:rsidP="004B0453">
    <w:pPr>
      <w:tabs>
        <w:tab w:val="left" w:pos="1107"/>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B4FBF" w14:textId="322B7D8C" w:rsidR="00BD0F6D" w:rsidRPr="00BD0F6D" w:rsidRDefault="00BD0F6D">
    <w:pPr>
      <w:rPr>
        <w:color w:val="FFFFFF" w:themeColor="background1"/>
      </w:rPr>
    </w:pPr>
    <w:r w:rsidRPr="00BD0F6D">
      <w:rPr>
        <w:noProof/>
        <w:color w:val="FFFFFF" w:themeColor="background1"/>
      </w:rPr>
      <w:drawing>
        <wp:anchor distT="0" distB="0" distL="114300" distR="114300" simplePos="0" relativeHeight="251658240" behindDoc="1" locked="0" layoutInCell="1" allowOverlap="1" wp14:anchorId="7F5DA155" wp14:editId="460330CA">
          <wp:simplePos x="0" y="0"/>
          <wp:positionH relativeFrom="page">
            <wp:posOffset>3</wp:posOffset>
          </wp:positionH>
          <wp:positionV relativeFrom="paragraph">
            <wp:posOffset>-443865</wp:posOffset>
          </wp:positionV>
          <wp:extent cx="7559989" cy="1079128"/>
          <wp:effectExtent l="0" t="0" r="3175" b="698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89" cy="1079128"/>
                  </a:xfrm>
                  <a:prstGeom prst="rect">
                    <a:avLst/>
                  </a:prstGeom>
                </pic:spPr>
              </pic:pic>
            </a:graphicData>
          </a:graphic>
          <wp14:sizeRelH relativeFrom="margin">
            <wp14:pctWidth>0</wp14:pctWidth>
          </wp14:sizeRelH>
          <wp14:sizeRelV relativeFrom="margin">
            <wp14:pctHeight>0</wp14:pctHeight>
          </wp14:sizeRelV>
        </wp:anchor>
      </w:drawing>
    </w:r>
    <w:r w:rsidRPr="00BD0F6D">
      <w:rPr>
        <w:color w:val="FFFFFF" w:themeColor="background1"/>
      </w:rPr>
      <w:t xml:space="preserve">City of Port Phillip </w:t>
    </w:r>
    <w:r w:rsidR="00CC49B7" w:rsidRPr="00CC49B7">
      <w:rPr>
        <w:b/>
        <w:bCs/>
        <w:color w:val="FFFFFF" w:themeColor="background1"/>
      </w:rPr>
      <w:t>Multicultural Strategy: Context &amp; Opportunities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C89A0" w14:textId="77777777" w:rsidR="00BD0F6D" w:rsidRDefault="00C47B50">
    <w:r w:rsidRPr="00C47B50">
      <w:rPr>
        <w:noProof/>
      </w:rPr>
      <w:drawing>
        <wp:anchor distT="0" distB="0" distL="114300" distR="114300" simplePos="0" relativeHeight="251658242" behindDoc="1" locked="1" layoutInCell="1" allowOverlap="1" wp14:anchorId="0373996B" wp14:editId="04D13DCB">
          <wp:simplePos x="0" y="0"/>
          <wp:positionH relativeFrom="page">
            <wp:posOffset>0</wp:posOffset>
          </wp:positionH>
          <wp:positionV relativeFrom="page">
            <wp:posOffset>9779635</wp:posOffset>
          </wp:positionV>
          <wp:extent cx="7559675" cy="901700"/>
          <wp:effectExtent l="0" t="0" r="3175" b="0"/>
          <wp:wrapNone/>
          <wp:docPr id="23" name="Picture 2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559675" cy="901700"/>
                  </a:xfrm>
                  <a:prstGeom prst="rect">
                    <a:avLst/>
                  </a:prstGeom>
                </pic:spPr>
              </pic:pic>
            </a:graphicData>
          </a:graphic>
          <wp14:sizeRelH relativeFrom="margin">
            <wp14:pctWidth>0</wp14:pctWidth>
          </wp14:sizeRelH>
          <wp14:sizeRelV relativeFrom="margin">
            <wp14:pctHeight>0</wp14:pctHeight>
          </wp14:sizeRelV>
        </wp:anchor>
      </w:drawing>
    </w:r>
    <w:r w:rsidRPr="00C47B50">
      <w:rPr>
        <w:noProof/>
      </w:rPr>
      <w:drawing>
        <wp:anchor distT="0" distB="0" distL="114300" distR="114300" simplePos="0" relativeHeight="251658243" behindDoc="1" locked="0" layoutInCell="1" allowOverlap="1" wp14:anchorId="6A3C56C1" wp14:editId="27D92B4B">
          <wp:simplePos x="0" y="0"/>
          <wp:positionH relativeFrom="column">
            <wp:posOffset>1766570</wp:posOffset>
          </wp:positionH>
          <wp:positionV relativeFrom="paragraph">
            <wp:posOffset>9561830</wp:posOffset>
          </wp:positionV>
          <wp:extent cx="364490" cy="364490"/>
          <wp:effectExtent l="0" t="0" r="0" b="0"/>
          <wp:wrapNone/>
          <wp:docPr id="6" name="Picture 6" descr="Shape&#10;&#10;Description automatically generated with low confidence">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low confidence">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364490" cy="364490"/>
                  </a:xfrm>
                  <a:prstGeom prst="rect">
                    <a:avLst/>
                  </a:prstGeom>
                </pic:spPr>
              </pic:pic>
            </a:graphicData>
          </a:graphic>
          <wp14:sizeRelH relativeFrom="margin">
            <wp14:pctWidth>0</wp14:pctWidth>
          </wp14:sizeRelH>
          <wp14:sizeRelV relativeFrom="margin">
            <wp14:pctHeight>0</wp14:pctHeight>
          </wp14:sizeRelV>
        </wp:anchor>
      </w:drawing>
    </w:r>
    <w:r w:rsidRPr="00C47B50">
      <w:rPr>
        <w:noProof/>
      </w:rPr>
      <w:drawing>
        <wp:anchor distT="0" distB="0" distL="114300" distR="114300" simplePos="0" relativeHeight="251658244" behindDoc="1" locked="0" layoutInCell="1" allowOverlap="1" wp14:anchorId="515E956A" wp14:editId="3496F40D">
          <wp:simplePos x="0" y="0"/>
          <wp:positionH relativeFrom="column">
            <wp:posOffset>2034540</wp:posOffset>
          </wp:positionH>
          <wp:positionV relativeFrom="paragraph">
            <wp:posOffset>9563100</wp:posOffset>
          </wp:positionV>
          <wp:extent cx="364490" cy="364490"/>
          <wp:effectExtent l="0" t="0" r="0" b="0"/>
          <wp:wrapNone/>
          <wp:docPr id="7" name="Picture 7">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364490" cy="364490"/>
                  </a:xfrm>
                  <a:prstGeom prst="rect">
                    <a:avLst/>
                  </a:prstGeom>
                </pic:spPr>
              </pic:pic>
            </a:graphicData>
          </a:graphic>
          <wp14:sizeRelH relativeFrom="margin">
            <wp14:pctWidth>0</wp14:pctWidth>
          </wp14:sizeRelH>
          <wp14:sizeRelV relativeFrom="margin">
            <wp14:pctHeight>0</wp14:pctHeight>
          </wp14:sizeRelV>
        </wp:anchor>
      </w:drawing>
    </w:r>
    <w:r w:rsidRPr="00C47B50">
      <w:rPr>
        <w:noProof/>
      </w:rPr>
      <w:drawing>
        <wp:anchor distT="0" distB="0" distL="114300" distR="114300" simplePos="0" relativeHeight="251658245" behindDoc="1" locked="0" layoutInCell="1" allowOverlap="1" wp14:anchorId="1E1D69D2" wp14:editId="6971619F">
          <wp:simplePos x="0" y="0"/>
          <wp:positionH relativeFrom="column">
            <wp:posOffset>2302510</wp:posOffset>
          </wp:positionH>
          <wp:positionV relativeFrom="paragraph">
            <wp:posOffset>9563100</wp:posOffset>
          </wp:positionV>
          <wp:extent cx="364490" cy="364490"/>
          <wp:effectExtent l="0" t="0" r="0" b="0"/>
          <wp:wrapNone/>
          <wp:docPr id="8" name="Picture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hlinkClick r:id="rId7"/>
                  </pic:cNvPr>
                  <pic:cNvPicPr/>
                </pic:nvPicPr>
                <pic:blipFill>
                  <a:blip r:embed="rId8">
                    <a:extLst>
                      <a:ext uri="{28A0092B-C50C-407E-A947-70E740481C1C}">
                        <a14:useLocalDpi xmlns:a14="http://schemas.microsoft.com/office/drawing/2010/main" val="0"/>
                      </a:ext>
                    </a:extLst>
                  </a:blip>
                  <a:stretch>
                    <a:fillRect/>
                  </a:stretch>
                </pic:blipFill>
                <pic:spPr>
                  <a:xfrm>
                    <a:off x="0" y="0"/>
                    <a:ext cx="364490" cy="36449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4FA79" w14:textId="0E60AAAE" w:rsidR="00BC64A3" w:rsidRPr="0085716E" w:rsidRDefault="00BC64A3" w:rsidP="0085716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486AF" w14:textId="77777777" w:rsidR="00C61073" w:rsidRDefault="00C610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A4C9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04858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A9289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3E8D4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C1233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525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BE38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F488C2"/>
    <w:lvl w:ilvl="0">
      <w:start w:val="1"/>
      <w:numFmt w:val="bullet"/>
      <w:pStyle w:val="ListBullet2"/>
      <w:lvlText w:val="o"/>
      <w:lvlJc w:val="left"/>
      <w:pPr>
        <w:ind w:left="644" w:hanging="360"/>
      </w:pPr>
      <w:rPr>
        <w:rFonts w:ascii="Courier New" w:hAnsi="Courier New" w:cs="Courier New" w:hint="default"/>
      </w:rPr>
    </w:lvl>
  </w:abstractNum>
  <w:abstractNum w:abstractNumId="8" w15:restartNumberingAfterBreak="0">
    <w:nsid w:val="FFFFFF88"/>
    <w:multiLevelType w:val="singleLevel"/>
    <w:tmpl w:val="B5DC34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B82F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BFA0EC7"/>
    <w:multiLevelType w:val="multilevel"/>
    <w:tmpl w:val="8FB82F5E"/>
    <w:numStyleLink w:val="ListSecondaryBullet"/>
  </w:abstractNum>
  <w:abstractNum w:abstractNumId="11" w15:restartNumberingAfterBreak="0">
    <w:nsid w:val="46795D89"/>
    <w:multiLevelType w:val="multilevel"/>
    <w:tmpl w:val="8FB82F5E"/>
    <w:styleLink w:val="ListSecondaryBullet"/>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Arial" w:hAnsi="Arial" w:cs="Courier New"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FFF0EC3"/>
    <w:multiLevelType w:val="hybridMultilevel"/>
    <w:tmpl w:val="977AC1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37972C9"/>
    <w:multiLevelType w:val="multilevel"/>
    <w:tmpl w:val="A196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550815"/>
    <w:multiLevelType w:val="multilevel"/>
    <w:tmpl w:val="672C7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2243264">
    <w:abstractNumId w:val="9"/>
  </w:num>
  <w:num w:numId="2" w16cid:durableId="358051842">
    <w:abstractNumId w:val="7"/>
  </w:num>
  <w:num w:numId="3" w16cid:durableId="1721630820">
    <w:abstractNumId w:val="6"/>
  </w:num>
  <w:num w:numId="4" w16cid:durableId="899558972">
    <w:abstractNumId w:val="5"/>
  </w:num>
  <w:num w:numId="5" w16cid:durableId="1662344542">
    <w:abstractNumId w:val="4"/>
  </w:num>
  <w:num w:numId="6" w16cid:durableId="1164391812">
    <w:abstractNumId w:val="8"/>
  </w:num>
  <w:num w:numId="7" w16cid:durableId="505942512">
    <w:abstractNumId w:val="3"/>
  </w:num>
  <w:num w:numId="8" w16cid:durableId="1576894260">
    <w:abstractNumId w:val="2"/>
  </w:num>
  <w:num w:numId="9" w16cid:durableId="1469585762">
    <w:abstractNumId w:val="1"/>
  </w:num>
  <w:num w:numId="10" w16cid:durableId="1916862583">
    <w:abstractNumId w:val="0"/>
  </w:num>
  <w:num w:numId="11" w16cid:durableId="364797357">
    <w:abstractNumId w:val="11"/>
  </w:num>
  <w:num w:numId="12" w16cid:durableId="915939709">
    <w:abstractNumId w:val="10"/>
  </w:num>
  <w:num w:numId="13" w16cid:durableId="1452474406">
    <w:abstractNumId w:val="13"/>
  </w:num>
  <w:num w:numId="14" w16cid:durableId="1258907610">
    <w:abstractNumId w:val="14"/>
  </w:num>
  <w:num w:numId="15" w16cid:durableId="5106028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D6E"/>
    <w:rsid w:val="0007720F"/>
    <w:rsid w:val="00081B44"/>
    <w:rsid w:val="000865EB"/>
    <w:rsid w:val="000E312D"/>
    <w:rsid w:val="00147C38"/>
    <w:rsid w:val="001A38CE"/>
    <w:rsid w:val="001E6E27"/>
    <w:rsid w:val="00212E87"/>
    <w:rsid w:val="002964DD"/>
    <w:rsid w:val="002C5C48"/>
    <w:rsid w:val="002E32FD"/>
    <w:rsid w:val="0034070A"/>
    <w:rsid w:val="003676C6"/>
    <w:rsid w:val="00395CF3"/>
    <w:rsid w:val="003B7109"/>
    <w:rsid w:val="0040772D"/>
    <w:rsid w:val="00434E22"/>
    <w:rsid w:val="0044135B"/>
    <w:rsid w:val="004435D2"/>
    <w:rsid w:val="0045023B"/>
    <w:rsid w:val="00480AB5"/>
    <w:rsid w:val="004B0453"/>
    <w:rsid w:val="004B49C3"/>
    <w:rsid w:val="004C4195"/>
    <w:rsid w:val="00540FFD"/>
    <w:rsid w:val="00582032"/>
    <w:rsid w:val="0064726E"/>
    <w:rsid w:val="006A1B47"/>
    <w:rsid w:val="006B0963"/>
    <w:rsid w:val="006D1978"/>
    <w:rsid w:val="006E710C"/>
    <w:rsid w:val="007626F3"/>
    <w:rsid w:val="00781DF1"/>
    <w:rsid w:val="00793465"/>
    <w:rsid w:val="007B13D5"/>
    <w:rsid w:val="007D6EE1"/>
    <w:rsid w:val="007E68E2"/>
    <w:rsid w:val="0085716E"/>
    <w:rsid w:val="00873A5B"/>
    <w:rsid w:val="00874427"/>
    <w:rsid w:val="008C2BE7"/>
    <w:rsid w:val="008C4438"/>
    <w:rsid w:val="008D5175"/>
    <w:rsid w:val="0093254F"/>
    <w:rsid w:val="00944DF0"/>
    <w:rsid w:val="00A30B39"/>
    <w:rsid w:val="00A352CA"/>
    <w:rsid w:val="00A40720"/>
    <w:rsid w:val="00A82924"/>
    <w:rsid w:val="00A84167"/>
    <w:rsid w:val="00B30846"/>
    <w:rsid w:val="00B5771F"/>
    <w:rsid w:val="00B65F1C"/>
    <w:rsid w:val="00B8421D"/>
    <w:rsid w:val="00B92760"/>
    <w:rsid w:val="00BB1FBA"/>
    <w:rsid w:val="00BC64A3"/>
    <w:rsid w:val="00BD0F6D"/>
    <w:rsid w:val="00C015E3"/>
    <w:rsid w:val="00C333D4"/>
    <w:rsid w:val="00C33D6E"/>
    <w:rsid w:val="00C41D52"/>
    <w:rsid w:val="00C47B50"/>
    <w:rsid w:val="00C61073"/>
    <w:rsid w:val="00C94C54"/>
    <w:rsid w:val="00CA372B"/>
    <w:rsid w:val="00CB7846"/>
    <w:rsid w:val="00CC49B7"/>
    <w:rsid w:val="00D25A52"/>
    <w:rsid w:val="00D96B9B"/>
    <w:rsid w:val="00DD61D0"/>
    <w:rsid w:val="00E83FE2"/>
    <w:rsid w:val="00EA5334"/>
    <w:rsid w:val="00EB6BA2"/>
    <w:rsid w:val="00F3339B"/>
    <w:rsid w:val="00F414C9"/>
    <w:rsid w:val="00F75A6C"/>
    <w:rsid w:val="00F9635E"/>
    <w:rsid w:val="00FC37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11629"/>
  <w15:chartTrackingRefBased/>
  <w15:docId w15:val="{73A58664-97DF-422B-9530-5F5365EB3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39B"/>
    <w:pPr>
      <w:spacing w:line="288" w:lineRule="auto"/>
    </w:pPr>
    <w:rPr>
      <w:rFonts w:ascii="Arial" w:hAnsi="Arial"/>
    </w:rPr>
  </w:style>
  <w:style w:type="paragraph" w:styleId="Heading1">
    <w:name w:val="heading 1"/>
    <w:next w:val="Normal"/>
    <w:link w:val="Heading1Char"/>
    <w:uiPriority w:val="9"/>
    <w:qFormat/>
    <w:rsid w:val="00A84167"/>
    <w:pPr>
      <w:keepNext/>
      <w:keepLines/>
      <w:spacing w:before="400" w:after="200" w:line="240" w:lineRule="auto"/>
      <w:outlineLvl w:val="0"/>
    </w:pPr>
    <w:rPr>
      <w:rFonts w:ascii="Arial" w:eastAsiaTheme="majorEastAsia" w:hAnsi="Arial" w:cstheme="majorBidi"/>
      <w:color w:val="00A3AD"/>
      <w:sz w:val="56"/>
      <w:szCs w:val="32"/>
    </w:rPr>
  </w:style>
  <w:style w:type="paragraph" w:styleId="Heading2">
    <w:name w:val="heading 2"/>
    <w:next w:val="Normal"/>
    <w:link w:val="Heading2Char"/>
    <w:uiPriority w:val="9"/>
    <w:unhideWhenUsed/>
    <w:qFormat/>
    <w:rsid w:val="00A84167"/>
    <w:pPr>
      <w:keepNext/>
      <w:keepLines/>
      <w:spacing w:before="360" w:after="120"/>
      <w:outlineLvl w:val="1"/>
    </w:pPr>
    <w:rPr>
      <w:rFonts w:ascii="Arial" w:eastAsiaTheme="majorEastAsia" w:hAnsi="Arial" w:cstheme="majorBidi"/>
      <w:b/>
      <w:color w:val="007184"/>
      <w:sz w:val="40"/>
      <w:szCs w:val="26"/>
    </w:rPr>
  </w:style>
  <w:style w:type="paragraph" w:styleId="Heading3">
    <w:name w:val="heading 3"/>
    <w:next w:val="Normal"/>
    <w:link w:val="Heading3Char"/>
    <w:uiPriority w:val="9"/>
    <w:unhideWhenUsed/>
    <w:qFormat/>
    <w:rsid w:val="00A84167"/>
    <w:pPr>
      <w:keepNext/>
      <w:keepLines/>
      <w:spacing w:before="240" w:after="120"/>
      <w:outlineLvl w:val="2"/>
    </w:pPr>
    <w:rPr>
      <w:rFonts w:ascii="Arial" w:eastAsiaTheme="majorEastAsia" w:hAnsi="Arial" w:cstheme="majorBidi"/>
      <w:b/>
      <w:sz w:val="32"/>
      <w:szCs w:val="24"/>
    </w:rPr>
  </w:style>
  <w:style w:type="paragraph" w:styleId="Heading4">
    <w:name w:val="heading 4"/>
    <w:next w:val="Normal"/>
    <w:link w:val="Heading4Char"/>
    <w:uiPriority w:val="9"/>
    <w:unhideWhenUsed/>
    <w:qFormat/>
    <w:rsid w:val="00A84167"/>
    <w:pPr>
      <w:keepNext/>
      <w:keepLines/>
      <w:spacing w:before="240" w:after="120"/>
      <w:outlineLvl w:val="3"/>
    </w:pPr>
    <w:rPr>
      <w:rFonts w:ascii="Arial" w:eastAsiaTheme="majorEastAsia" w:hAnsi="Arial" w:cstheme="majorBidi"/>
      <w:b/>
      <w:iCs/>
      <w:sz w:val="28"/>
    </w:rPr>
  </w:style>
  <w:style w:type="paragraph" w:styleId="Heading5">
    <w:name w:val="heading 5"/>
    <w:basedOn w:val="Normal"/>
    <w:next w:val="Normal"/>
    <w:link w:val="Heading5Char"/>
    <w:uiPriority w:val="9"/>
    <w:unhideWhenUsed/>
    <w:rsid w:val="00A84167"/>
    <w:pPr>
      <w:keepNext/>
      <w:keepLines/>
      <w:spacing w:before="240"/>
      <w:outlineLvl w:val="4"/>
    </w:pPr>
    <w:rPr>
      <w:rFonts w:eastAsiaTheme="majorEastAsia" w:cstheme="majorBidi"/>
      <w:b/>
    </w:rPr>
  </w:style>
  <w:style w:type="paragraph" w:styleId="Heading6">
    <w:name w:val="heading 6"/>
    <w:basedOn w:val="Normal"/>
    <w:next w:val="Normal"/>
    <w:link w:val="Heading6Char"/>
    <w:uiPriority w:val="9"/>
    <w:unhideWhenUsed/>
    <w:rsid w:val="004435D2"/>
    <w:pPr>
      <w:keepNext/>
      <w:keepLines/>
      <w:spacing w:before="40" w:after="0"/>
      <w:outlineLvl w:val="5"/>
    </w:pPr>
    <w:rPr>
      <w:rFonts w:asciiTheme="majorHAnsi" w:eastAsiaTheme="majorEastAsia" w:hAnsiTheme="majorHAnsi" w:cstheme="majorBidi"/>
      <w:color w:val="00475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167"/>
    <w:rPr>
      <w:rFonts w:ascii="Arial" w:eastAsiaTheme="majorEastAsia" w:hAnsi="Arial" w:cstheme="majorBidi"/>
      <w:color w:val="00A3AD"/>
      <w:sz w:val="56"/>
      <w:szCs w:val="32"/>
    </w:rPr>
  </w:style>
  <w:style w:type="character" w:customStyle="1" w:styleId="Heading2Char">
    <w:name w:val="Heading 2 Char"/>
    <w:basedOn w:val="DefaultParagraphFont"/>
    <w:link w:val="Heading2"/>
    <w:uiPriority w:val="9"/>
    <w:rsid w:val="00A84167"/>
    <w:rPr>
      <w:rFonts w:ascii="Arial" w:eastAsiaTheme="majorEastAsia" w:hAnsi="Arial" w:cstheme="majorBidi"/>
      <w:b/>
      <w:color w:val="007184"/>
      <w:sz w:val="40"/>
      <w:szCs w:val="26"/>
    </w:rPr>
  </w:style>
  <w:style w:type="character" w:customStyle="1" w:styleId="Heading3Char">
    <w:name w:val="Heading 3 Char"/>
    <w:basedOn w:val="DefaultParagraphFont"/>
    <w:link w:val="Heading3"/>
    <w:uiPriority w:val="9"/>
    <w:rsid w:val="00A84167"/>
    <w:rPr>
      <w:rFonts w:ascii="Arial" w:eastAsiaTheme="majorEastAsia" w:hAnsi="Arial" w:cstheme="majorBidi"/>
      <w:b/>
      <w:sz w:val="32"/>
      <w:szCs w:val="24"/>
    </w:rPr>
  </w:style>
  <w:style w:type="character" w:customStyle="1" w:styleId="Heading4Char">
    <w:name w:val="Heading 4 Char"/>
    <w:basedOn w:val="DefaultParagraphFont"/>
    <w:link w:val="Heading4"/>
    <w:uiPriority w:val="9"/>
    <w:rsid w:val="00A84167"/>
    <w:rPr>
      <w:rFonts w:ascii="Arial" w:eastAsiaTheme="majorEastAsia" w:hAnsi="Arial" w:cstheme="majorBidi"/>
      <w:b/>
      <w:iCs/>
      <w:sz w:val="28"/>
    </w:rPr>
  </w:style>
  <w:style w:type="character" w:customStyle="1" w:styleId="Heading5Char">
    <w:name w:val="Heading 5 Char"/>
    <w:basedOn w:val="DefaultParagraphFont"/>
    <w:link w:val="Heading5"/>
    <w:uiPriority w:val="9"/>
    <w:rsid w:val="00A84167"/>
    <w:rPr>
      <w:rFonts w:ascii="Arial" w:eastAsiaTheme="majorEastAsia" w:hAnsi="Arial" w:cstheme="majorBidi"/>
      <w:b/>
    </w:rPr>
  </w:style>
  <w:style w:type="character" w:customStyle="1" w:styleId="Heading6Char">
    <w:name w:val="Heading 6 Char"/>
    <w:basedOn w:val="DefaultParagraphFont"/>
    <w:link w:val="Heading6"/>
    <w:uiPriority w:val="9"/>
    <w:rsid w:val="004435D2"/>
    <w:rPr>
      <w:rFonts w:asciiTheme="majorHAnsi" w:eastAsiaTheme="majorEastAsia" w:hAnsiTheme="majorHAnsi" w:cstheme="majorBidi"/>
      <w:color w:val="004750" w:themeColor="accent1" w:themeShade="7F"/>
    </w:rPr>
  </w:style>
  <w:style w:type="paragraph" w:styleId="List">
    <w:name w:val="List"/>
    <w:uiPriority w:val="99"/>
    <w:unhideWhenUsed/>
    <w:rsid w:val="003B7109"/>
    <w:pPr>
      <w:spacing w:after="0" w:line="288" w:lineRule="auto"/>
      <w:ind w:left="284" w:hanging="284"/>
      <w:contextualSpacing/>
    </w:pPr>
    <w:rPr>
      <w:rFonts w:ascii="Arial" w:hAnsi="Arial"/>
    </w:rPr>
  </w:style>
  <w:style w:type="paragraph" w:styleId="ListBullet">
    <w:name w:val="List Bullet"/>
    <w:uiPriority w:val="99"/>
    <w:unhideWhenUsed/>
    <w:rsid w:val="003B7109"/>
    <w:pPr>
      <w:numPr>
        <w:numId w:val="1"/>
      </w:numPr>
      <w:spacing w:after="120" w:line="288" w:lineRule="auto"/>
      <w:ind w:left="357" w:hanging="357"/>
      <w:contextualSpacing/>
    </w:pPr>
    <w:rPr>
      <w:rFonts w:ascii="Arial" w:hAnsi="Arial"/>
    </w:rPr>
  </w:style>
  <w:style w:type="paragraph" w:styleId="ListNumber">
    <w:name w:val="List Number"/>
    <w:basedOn w:val="Normal"/>
    <w:uiPriority w:val="99"/>
    <w:unhideWhenUsed/>
    <w:rsid w:val="003B7109"/>
    <w:pPr>
      <w:numPr>
        <w:numId w:val="6"/>
      </w:numPr>
      <w:contextualSpacing/>
    </w:pPr>
  </w:style>
  <w:style w:type="paragraph" w:styleId="ListNumber2">
    <w:name w:val="List Number 2"/>
    <w:uiPriority w:val="99"/>
    <w:unhideWhenUsed/>
    <w:rsid w:val="003B7109"/>
    <w:pPr>
      <w:numPr>
        <w:numId w:val="7"/>
      </w:numPr>
      <w:spacing w:after="120" w:line="288" w:lineRule="auto"/>
      <w:ind w:left="641" w:hanging="357"/>
      <w:contextualSpacing/>
    </w:pPr>
    <w:rPr>
      <w:rFonts w:ascii="Arial" w:hAnsi="Arial"/>
    </w:rPr>
  </w:style>
  <w:style w:type="paragraph" w:styleId="TableofFigures">
    <w:name w:val="table of figures"/>
    <w:basedOn w:val="Normal"/>
    <w:next w:val="Normal"/>
    <w:uiPriority w:val="99"/>
    <w:unhideWhenUsed/>
    <w:rsid w:val="006E710C"/>
    <w:pPr>
      <w:spacing w:after="0"/>
    </w:pPr>
  </w:style>
  <w:style w:type="paragraph" w:customStyle="1" w:styleId="Introduction">
    <w:name w:val="Introduction"/>
    <w:basedOn w:val="Normal"/>
    <w:link w:val="IntroductionChar"/>
    <w:qFormat/>
    <w:rsid w:val="006E710C"/>
    <w:pPr>
      <w:spacing w:after="120"/>
    </w:pPr>
    <w:rPr>
      <w:b/>
      <w:bCs/>
    </w:rPr>
  </w:style>
  <w:style w:type="table" w:styleId="TableGrid">
    <w:name w:val="Table Grid"/>
    <w:basedOn w:val="TableNormal"/>
    <w:uiPriority w:val="59"/>
    <w:rsid w:val="006E71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roductionChar">
    <w:name w:val="Introduction Char"/>
    <w:basedOn w:val="DefaultParagraphFont"/>
    <w:link w:val="Introduction"/>
    <w:rsid w:val="006E710C"/>
    <w:rPr>
      <w:rFonts w:ascii="Arial" w:hAnsi="Arial"/>
      <w:b/>
      <w:bCs/>
    </w:rPr>
  </w:style>
  <w:style w:type="table" w:styleId="ListTable3">
    <w:name w:val="List Table 3"/>
    <w:basedOn w:val="TableNormal"/>
    <w:uiPriority w:val="48"/>
    <w:rsid w:val="006E710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E710C"/>
    <w:pPr>
      <w:spacing w:after="0" w:line="240" w:lineRule="auto"/>
    </w:pPr>
    <w:tblPr>
      <w:tblStyleRowBandSize w:val="1"/>
      <w:tblStyleColBandSize w:val="1"/>
      <w:tblBorders>
        <w:top w:val="single" w:sz="4" w:space="0" w:color="008FA2" w:themeColor="accent1"/>
        <w:left w:val="single" w:sz="4" w:space="0" w:color="008FA2" w:themeColor="accent1"/>
        <w:bottom w:val="single" w:sz="4" w:space="0" w:color="008FA2" w:themeColor="accent1"/>
        <w:right w:val="single" w:sz="4" w:space="0" w:color="008FA2" w:themeColor="accent1"/>
      </w:tblBorders>
    </w:tblPr>
    <w:tblStylePr w:type="firstRow">
      <w:rPr>
        <w:b/>
        <w:bCs/>
        <w:color w:val="FFFFFF" w:themeColor="background1"/>
      </w:rPr>
      <w:tblPr/>
      <w:tcPr>
        <w:shd w:val="clear" w:color="auto" w:fill="008FA2" w:themeFill="accent1"/>
      </w:tcPr>
    </w:tblStylePr>
    <w:tblStylePr w:type="lastRow">
      <w:rPr>
        <w:b/>
        <w:bCs/>
      </w:rPr>
      <w:tblPr/>
      <w:tcPr>
        <w:tcBorders>
          <w:top w:val="double" w:sz="4" w:space="0" w:color="008FA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FA2" w:themeColor="accent1"/>
          <w:right w:val="single" w:sz="4" w:space="0" w:color="008FA2" w:themeColor="accent1"/>
        </w:tcBorders>
      </w:tcPr>
    </w:tblStylePr>
    <w:tblStylePr w:type="band1Horz">
      <w:tblPr/>
      <w:tcPr>
        <w:tcBorders>
          <w:top w:val="single" w:sz="4" w:space="0" w:color="008FA2" w:themeColor="accent1"/>
          <w:bottom w:val="single" w:sz="4" w:space="0" w:color="008FA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FA2" w:themeColor="accent1"/>
          <w:left w:val="nil"/>
        </w:tcBorders>
      </w:tcPr>
    </w:tblStylePr>
    <w:tblStylePr w:type="swCell">
      <w:tblPr/>
      <w:tcPr>
        <w:tcBorders>
          <w:top w:val="double" w:sz="4" w:space="0" w:color="008FA2" w:themeColor="accent1"/>
          <w:right w:val="nil"/>
        </w:tcBorders>
      </w:tcPr>
    </w:tblStylePr>
  </w:style>
  <w:style w:type="paragraph" w:customStyle="1" w:styleId="TableHeadingWhite">
    <w:name w:val="Table Heading White"/>
    <w:link w:val="TableHeadingWhiteChar"/>
    <w:qFormat/>
    <w:rsid w:val="00B30846"/>
    <w:pPr>
      <w:spacing w:after="0"/>
    </w:pPr>
    <w:rPr>
      <w:rFonts w:ascii="Arial" w:hAnsi="Arial"/>
      <w:bCs/>
      <w:color w:val="FFFFFF" w:themeColor="background1"/>
      <w:sz w:val="20"/>
    </w:rPr>
  </w:style>
  <w:style w:type="table" w:customStyle="1" w:styleId="Tealtable">
    <w:name w:val="Teal table"/>
    <w:basedOn w:val="TableNormal"/>
    <w:uiPriority w:val="99"/>
    <w:rsid w:val="00873A5B"/>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nil"/>
          <w:left w:val="nil"/>
          <w:bottom w:val="nil"/>
          <w:right w:val="nil"/>
          <w:insideH w:val="nil"/>
          <w:insideV w:val="nil"/>
          <w:tl2br w:val="nil"/>
          <w:tr2bl w:val="nil"/>
        </w:tcBorders>
        <w:shd w:val="clear" w:color="auto" w:fill="00A3AD"/>
      </w:tcPr>
    </w:tblStylePr>
  </w:style>
  <w:style w:type="character" w:customStyle="1" w:styleId="TableHeadingWhiteChar">
    <w:name w:val="Table Heading White Char"/>
    <w:basedOn w:val="DefaultParagraphFont"/>
    <w:link w:val="TableHeadingWhite"/>
    <w:rsid w:val="00B30846"/>
    <w:rPr>
      <w:rFonts w:ascii="Arial" w:hAnsi="Arial"/>
      <w:bCs/>
      <w:color w:val="FFFFFF" w:themeColor="background1"/>
      <w:sz w:val="20"/>
    </w:rPr>
  </w:style>
  <w:style w:type="paragraph" w:customStyle="1" w:styleId="Tablebody">
    <w:name w:val="Table body"/>
    <w:basedOn w:val="Normal"/>
    <w:qFormat/>
    <w:rsid w:val="000865EB"/>
    <w:pPr>
      <w:spacing w:after="0"/>
    </w:pPr>
    <w:rPr>
      <w:bCs/>
    </w:rPr>
  </w:style>
  <w:style w:type="numbering" w:customStyle="1" w:styleId="ListSecondaryBullet">
    <w:name w:val="List Secondary Bullet"/>
    <w:basedOn w:val="NoList"/>
    <w:uiPriority w:val="99"/>
    <w:rsid w:val="00F3339B"/>
    <w:pPr>
      <w:numPr>
        <w:numId w:val="11"/>
      </w:numPr>
    </w:pPr>
  </w:style>
  <w:style w:type="paragraph" w:styleId="Footer">
    <w:name w:val="footer"/>
    <w:basedOn w:val="Normal"/>
    <w:link w:val="FooterChar"/>
    <w:uiPriority w:val="99"/>
    <w:unhideWhenUsed/>
    <w:rsid w:val="00873A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A5B"/>
    <w:rPr>
      <w:rFonts w:ascii="Arial" w:hAnsi="Arial"/>
    </w:rPr>
  </w:style>
  <w:style w:type="paragraph" w:styleId="Title">
    <w:name w:val="Title"/>
    <w:aliases w:val="Title cover"/>
    <w:next w:val="Normal"/>
    <w:link w:val="TitleChar"/>
    <w:uiPriority w:val="10"/>
    <w:rsid w:val="00F414C9"/>
    <w:pPr>
      <w:spacing w:after="120" w:line="240" w:lineRule="auto"/>
      <w:contextualSpacing/>
    </w:pPr>
    <w:rPr>
      <w:rFonts w:ascii="Arial" w:eastAsiaTheme="majorEastAsia" w:hAnsi="Arial" w:cstheme="majorBidi"/>
      <w:spacing w:val="-10"/>
      <w:kern w:val="28"/>
      <w:sz w:val="72"/>
      <w:szCs w:val="56"/>
    </w:rPr>
  </w:style>
  <w:style w:type="character" w:customStyle="1" w:styleId="TitleChar">
    <w:name w:val="Title Char"/>
    <w:aliases w:val="Title cover Char"/>
    <w:basedOn w:val="DefaultParagraphFont"/>
    <w:link w:val="Title"/>
    <w:uiPriority w:val="10"/>
    <w:rsid w:val="00F414C9"/>
    <w:rPr>
      <w:rFonts w:ascii="Arial" w:eastAsiaTheme="majorEastAsia" w:hAnsi="Arial" w:cstheme="majorBidi"/>
      <w:spacing w:val="-10"/>
      <w:kern w:val="28"/>
      <w:sz w:val="72"/>
      <w:szCs w:val="56"/>
    </w:rPr>
  </w:style>
  <w:style w:type="paragraph" w:customStyle="1" w:styleId="Coverversioncontrol">
    <w:name w:val="Cover version control"/>
    <w:basedOn w:val="Title"/>
    <w:link w:val="CoverversioncontrolChar"/>
    <w:qFormat/>
    <w:rsid w:val="00F414C9"/>
    <w:rPr>
      <w:sz w:val="32"/>
      <w:szCs w:val="32"/>
    </w:rPr>
  </w:style>
  <w:style w:type="character" w:customStyle="1" w:styleId="CoverversioncontrolChar">
    <w:name w:val="Cover version control Char"/>
    <w:basedOn w:val="TitleChar"/>
    <w:link w:val="Coverversioncontrol"/>
    <w:rsid w:val="00F414C9"/>
    <w:rPr>
      <w:rFonts w:ascii="Arial" w:eastAsiaTheme="majorEastAsia" w:hAnsi="Arial" w:cstheme="majorBidi"/>
      <w:spacing w:val="-10"/>
      <w:kern w:val="28"/>
      <w:sz w:val="32"/>
      <w:szCs w:val="32"/>
    </w:rPr>
  </w:style>
  <w:style w:type="paragraph" w:styleId="ListBullet2">
    <w:name w:val="List Bullet 2"/>
    <w:basedOn w:val="Normal"/>
    <w:uiPriority w:val="99"/>
    <w:unhideWhenUsed/>
    <w:rsid w:val="00F3339B"/>
    <w:pPr>
      <w:numPr>
        <w:numId w:val="2"/>
      </w:numPr>
      <w:contextualSpacing/>
    </w:pPr>
  </w:style>
  <w:style w:type="paragraph" w:styleId="TOCHeading">
    <w:name w:val="TOC Heading"/>
    <w:basedOn w:val="Heading1"/>
    <w:next w:val="Normal"/>
    <w:uiPriority w:val="39"/>
    <w:unhideWhenUsed/>
    <w:qFormat/>
    <w:rsid w:val="000865EB"/>
    <w:pPr>
      <w:spacing w:before="240" w:after="240"/>
      <w:outlineLvl w:val="9"/>
    </w:pPr>
    <w:rPr>
      <w:b/>
      <w:color w:val="006B79" w:themeColor="accent1" w:themeShade="BF"/>
      <w:sz w:val="40"/>
      <w:lang w:val="en-US"/>
    </w:rPr>
  </w:style>
  <w:style w:type="character" w:styleId="Hyperlink">
    <w:name w:val="Hyperlink"/>
    <w:basedOn w:val="DefaultParagraphFont"/>
    <w:uiPriority w:val="99"/>
    <w:unhideWhenUsed/>
    <w:rsid w:val="00EA5334"/>
    <w:rPr>
      <w:rFonts w:ascii="Arial" w:hAnsi="Arial"/>
      <w:b w:val="0"/>
      <w:color w:val="00595F" w:themeColor="hyperlink"/>
      <w:sz w:val="22"/>
      <w:u w:val="single"/>
    </w:rPr>
  </w:style>
  <w:style w:type="character" w:styleId="UnresolvedMention">
    <w:name w:val="Unresolved Mention"/>
    <w:basedOn w:val="DefaultParagraphFont"/>
    <w:uiPriority w:val="99"/>
    <w:semiHidden/>
    <w:unhideWhenUsed/>
    <w:rsid w:val="00BD0F6D"/>
    <w:rPr>
      <w:color w:val="605E5C"/>
      <w:shd w:val="clear" w:color="auto" w:fill="E1DFDD"/>
    </w:rPr>
  </w:style>
  <w:style w:type="character" w:styleId="FollowedHyperlink">
    <w:name w:val="FollowedHyperlink"/>
    <w:basedOn w:val="DefaultParagraphFont"/>
    <w:uiPriority w:val="99"/>
    <w:semiHidden/>
    <w:unhideWhenUsed/>
    <w:rsid w:val="00BD0F6D"/>
    <w:rPr>
      <w:color w:val="193C67" w:themeColor="followedHyperlink"/>
      <w:u w:val="single"/>
    </w:rPr>
  </w:style>
  <w:style w:type="paragraph" w:styleId="TOC1">
    <w:name w:val="toc 1"/>
    <w:basedOn w:val="Normal"/>
    <w:next w:val="Normal"/>
    <w:autoRedefine/>
    <w:uiPriority w:val="39"/>
    <w:unhideWhenUsed/>
    <w:rsid w:val="00147C38"/>
    <w:pPr>
      <w:spacing w:after="100"/>
    </w:pPr>
  </w:style>
  <w:style w:type="paragraph" w:styleId="TOC2">
    <w:name w:val="toc 2"/>
    <w:basedOn w:val="Normal"/>
    <w:next w:val="Normal"/>
    <w:autoRedefine/>
    <w:uiPriority w:val="39"/>
    <w:unhideWhenUsed/>
    <w:rsid w:val="00147C38"/>
    <w:pPr>
      <w:spacing w:after="100"/>
      <w:ind w:left="220"/>
    </w:pPr>
  </w:style>
  <w:style w:type="paragraph" w:styleId="TOC3">
    <w:name w:val="toc 3"/>
    <w:basedOn w:val="Normal"/>
    <w:next w:val="Normal"/>
    <w:autoRedefine/>
    <w:uiPriority w:val="39"/>
    <w:unhideWhenUsed/>
    <w:rsid w:val="00147C38"/>
    <w:pPr>
      <w:spacing w:after="100"/>
      <w:ind w:left="440"/>
    </w:pPr>
  </w:style>
  <w:style w:type="paragraph" w:styleId="Revision">
    <w:name w:val="Revision"/>
    <w:hidden/>
    <w:uiPriority w:val="99"/>
    <w:semiHidden/>
    <w:rsid w:val="00BC64A3"/>
    <w:pPr>
      <w:spacing w:after="0" w:line="240" w:lineRule="auto"/>
    </w:pPr>
    <w:rPr>
      <w:rFonts w:ascii="Arial" w:hAnsi="Arial"/>
    </w:rPr>
  </w:style>
  <w:style w:type="paragraph" w:styleId="Header">
    <w:name w:val="header"/>
    <w:basedOn w:val="Normal"/>
    <w:link w:val="HeaderChar"/>
    <w:uiPriority w:val="99"/>
    <w:unhideWhenUsed/>
    <w:rsid w:val="008D51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5175"/>
    <w:rPr>
      <w:rFonts w:ascii="Arial" w:hAnsi="Arial"/>
    </w:rPr>
  </w:style>
  <w:style w:type="paragraph" w:styleId="ListParagraph">
    <w:name w:val="List Paragraph"/>
    <w:basedOn w:val="Normal"/>
    <w:uiPriority w:val="34"/>
    <w:qFormat/>
    <w:rsid w:val="00C33D6E"/>
    <w:pPr>
      <w:spacing w:line="259" w:lineRule="auto"/>
      <w:ind w:left="720"/>
      <w:contextualSpacing/>
    </w:pPr>
    <w:rPr>
      <w:rFonts w:asciiTheme="minorHAnsi" w:hAnsiTheme="minorHAnsi"/>
    </w:rPr>
  </w:style>
  <w:style w:type="character" w:styleId="Emphasis">
    <w:name w:val="Emphasis"/>
    <w:basedOn w:val="DefaultParagraphFont"/>
    <w:uiPriority w:val="20"/>
    <w:qFormat/>
    <w:rsid w:val="00C33D6E"/>
    <w:rPr>
      <w:i/>
      <w:iCs/>
    </w:rPr>
  </w:style>
  <w:style w:type="character" w:styleId="Strong">
    <w:name w:val="Strong"/>
    <w:basedOn w:val="DefaultParagraphFont"/>
    <w:uiPriority w:val="22"/>
    <w:qFormat/>
    <w:rsid w:val="00C33D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hyperlink" Target="https://www.facebook.com/cityofportphillip" TargetMode="External"/><Relationship Id="rId7" Type="http://schemas.openxmlformats.org/officeDocument/2006/relationships/hyperlink" Target="https://twitter.com/cityportphillip" TargetMode="External"/><Relationship Id="rId2" Type="http://schemas.openxmlformats.org/officeDocument/2006/relationships/image" Target="media/image2.png"/><Relationship Id="rId1" Type="http://schemas.openxmlformats.org/officeDocument/2006/relationships/hyperlink" Target="https://www.portphillip.vic.gov.au/" TargetMode="External"/><Relationship Id="rId6" Type="http://schemas.openxmlformats.org/officeDocument/2006/relationships/image" Target="media/image4.png"/><Relationship Id="rId5" Type="http://schemas.openxmlformats.org/officeDocument/2006/relationships/hyperlink" Target="https://www.instagram.com/cityofportphillip/" TargetMode="External"/><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zysk\Downloads\copp_multi-page_with-cover-image%20(2).dotx" TargetMode="External"/></Relationships>
</file>

<file path=word/theme/theme1.xml><?xml version="1.0" encoding="utf-8"?>
<a:theme xmlns:a="http://schemas.openxmlformats.org/drawingml/2006/main" name="Office Theme">
  <a:themeElements>
    <a:clrScheme name="CoPP">
      <a:dk1>
        <a:sysClr val="windowText" lastClr="000000"/>
      </a:dk1>
      <a:lt1>
        <a:sysClr val="window" lastClr="FFFFFF"/>
      </a:lt1>
      <a:dk2>
        <a:srgbClr val="44546A"/>
      </a:dk2>
      <a:lt2>
        <a:srgbClr val="E7E6E6"/>
      </a:lt2>
      <a:accent1>
        <a:srgbClr val="008FA2"/>
      </a:accent1>
      <a:accent2>
        <a:srgbClr val="0094D4"/>
      </a:accent2>
      <a:accent3>
        <a:srgbClr val="CE1052"/>
      </a:accent3>
      <a:accent4>
        <a:srgbClr val="EC6607"/>
      </a:accent4>
      <a:accent5>
        <a:srgbClr val="958A7A"/>
      </a:accent5>
      <a:accent6>
        <a:srgbClr val="272420"/>
      </a:accent6>
      <a:hlink>
        <a:srgbClr val="00595F"/>
      </a:hlink>
      <a:folHlink>
        <a:srgbClr val="193C6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a13223-5423-4fe6-a0ba-c8fc67ca04db">
      <Terms xmlns="http://schemas.microsoft.com/office/infopath/2007/PartnerControls"/>
    </lcf76f155ced4ddcb4097134ff3c332f>
    <_Flow_SignoffStatus xmlns="1ba13223-5423-4fe6-a0ba-c8fc67ca04db" xsi:nil="true"/>
    <TaxCatchAll xmlns="ba52bbc3-f39b-4248-946e-763a40b75c1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AD6257D4A9E49498EF129CD344F14FE" ma:contentTypeVersion="20" ma:contentTypeDescription="Create a new document." ma:contentTypeScope="" ma:versionID="5a8215f5280123adaac23eb7e2bc2c0d">
  <xsd:schema xmlns:xsd="http://www.w3.org/2001/XMLSchema" xmlns:xs="http://www.w3.org/2001/XMLSchema" xmlns:p="http://schemas.microsoft.com/office/2006/metadata/properties" xmlns:ns2="ba52bbc3-f39b-4248-946e-763a40b75c16" xmlns:ns3="1ba13223-5423-4fe6-a0ba-c8fc67ca04db" targetNamespace="http://schemas.microsoft.com/office/2006/metadata/properties" ma:root="true" ma:fieldsID="a61302656b9d1e245c7a21a42fd269d6" ns2:_="" ns3:_="">
    <xsd:import namespace="ba52bbc3-f39b-4248-946e-763a40b75c16"/>
    <xsd:import namespace="1ba13223-5423-4fe6-a0ba-c8fc67ca04d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2bbc3-f39b-4248-946e-763a40b75c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85649f5-46c7-472d-a93d-b281fe6ce796}" ma:internalName="TaxCatchAll" ma:showField="CatchAllData" ma:web="ba52bbc3-f39b-4248-946e-763a40b75c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a13223-5423-4fe6-a0ba-c8fc67ca04d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d49f6f-2e1b-47e3-8cce-9f11107aca1b"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CF8948-0C55-424F-8376-4BF81FD5FD68}">
  <ds:schemaRefs>
    <ds:schemaRef ds:uri="http://schemas.openxmlformats.org/officeDocument/2006/bibliography"/>
  </ds:schemaRefs>
</ds:datastoreItem>
</file>

<file path=customXml/itemProps2.xml><?xml version="1.0" encoding="utf-8"?>
<ds:datastoreItem xmlns:ds="http://schemas.openxmlformats.org/officeDocument/2006/customXml" ds:itemID="{FFA51E98-51A7-4823-8187-975FE5A92329}">
  <ds:schemaRefs>
    <ds:schemaRef ds:uri="http://purl.org/dc/elements/1.1/"/>
    <ds:schemaRef ds:uri="http://schemas.microsoft.com/office/2006/documentManagement/types"/>
    <ds:schemaRef ds:uri="http://purl.org/dc/terms/"/>
    <ds:schemaRef ds:uri="http://purl.org/dc/dcmitype/"/>
    <ds:schemaRef ds:uri="http://schemas.microsoft.com/office/infopath/2007/PartnerControls"/>
    <ds:schemaRef ds:uri="1ba13223-5423-4fe6-a0ba-c8fc67ca04db"/>
    <ds:schemaRef ds:uri="http://schemas.openxmlformats.org/package/2006/metadata/core-properties"/>
    <ds:schemaRef ds:uri="ba52bbc3-f39b-4248-946e-763a40b75c16"/>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7C18D426-2F84-4E78-AFEB-AC4C99D6BA8E}">
  <ds:schemaRefs>
    <ds:schemaRef ds:uri="http://schemas.microsoft.com/sharepoint/v3/contenttype/forms"/>
  </ds:schemaRefs>
</ds:datastoreItem>
</file>

<file path=customXml/itemProps4.xml><?xml version="1.0" encoding="utf-8"?>
<ds:datastoreItem xmlns:ds="http://schemas.openxmlformats.org/officeDocument/2006/customXml" ds:itemID="{5B12C998-0247-43E2-8D10-C0F809643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2bbc3-f39b-4248-946e-763a40b75c16"/>
    <ds:schemaRef ds:uri="1ba13223-5423-4fe6-a0ba-c8fc67ca0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copp_multi-page_with-cover-image (2).dotx</Template>
  <TotalTime>0</TotalTime>
  <Pages>8</Pages>
  <Words>2328</Words>
  <Characters>13272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City of Port Phillip</Company>
  <LinksUpToDate>false</LinksUpToDate>
  <CharactersWithSpaces>15569</CharactersWithSpaces>
  <SharedDoc>false</SharedDoc>
  <HLinks>
    <vt:vector size="84" baseType="variant">
      <vt:variant>
        <vt:i4>1310771</vt:i4>
      </vt:variant>
      <vt:variant>
        <vt:i4>80</vt:i4>
      </vt:variant>
      <vt:variant>
        <vt:i4>0</vt:i4>
      </vt:variant>
      <vt:variant>
        <vt:i4>5</vt:i4>
      </vt:variant>
      <vt:variant>
        <vt:lpwstr/>
      </vt:variant>
      <vt:variant>
        <vt:lpwstr>_Toc210296864</vt:lpwstr>
      </vt:variant>
      <vt:variant>
        <vt:i4>1310771</vt:i4>
      </vt:variant>
      <vt:variant>
        <vt:i4>74</vt:i4>
      </vt:variant>
      <vt:variant>
        <vt:i4>0</vt:i4>
      </vt:variant>
      <vt:variant>
        <vt:i4>5</vt:i4>
      </vt:variant>
      <vt:variant>
        <vt:lpwstr/>
      </vt:variant>
      <vt:variant>
        <vt:lpwstr>_Toc210296863</vt:lpwstr>
      </vt:variant>
      <vt:variant>
        <vt:i4>1310771</vt:i4>
      </vt:variant>
      <vt:variant>
        <vt:i4>68</vt:i4>
      </vt:variant>
      <vt:variant>
        <vt:i4>0</vt:i4>
      </vt:variant>
      <vt:variant>
        <vt:i4>5</vt:i4>
      </vt:variant>
      <vt:variant>
        <vt:lpwstr/>
      </vt:variant>
      <vt:variant>
        <vt:lpwstr>_Toc210296862</vt:lpwstr>
      </vt:variant>
      <vt:variant>
        <vt:i4>1310771</vt:i4>
      </vt:variant>
      <vt:variant>
        <vt:i4>62</vt:i4>
      </vt:variant>
      <vt:variant>
        <vt:i4>0</vt:i4>
      </vt:variant>
      <vt:variant>
        <vt:i4>5</vt:i4>
      </vt:variant>
      <vt:variant>
        <vt:lpwstr/>
      </vt:variant>
      <vt:variant>
        <vt:lpwstr>_Toc210296861</vt:lpwstr>
      </vt:variant>
      <vt:variant>
        <vt:i4>1310771</vt:i4>
      </vt:variant>
      <vt:variant>
        <vt:i4>56</vt:i4>
      </vt:variant>
      <vt:variant>
        <vt:i4>0</vt:i4>
      </vt:variant>
      <vt:variant>
        <vt:i4>5</vt:i4>
      </vt:variant>
      <vt:variant>
        <vt:lpwstr/>
      </vt:variant>
      <vt:variant>
        <vt:lpwstr>_Toc210296860</vt:lpwstr>
      </vt:variant>
      <vt:variant>
        <vt:i4>1507379</vt:i4>
      </vt:variant>
      <vt:variant>
        <vt:i4>50</vt:i4>
      </vt:variant>
      <vt:variant>
        <vt:i4>0</vt:i4>
      </vt:variant>
      <vt:variant>
        <vt:i4>5</vt:i4>
      </vt:variant>
      <vt:variant>
        <vt:lpwstr/>
      </vt:variant>
      <vt:variant>
        <vt:lpwstr>_Toc210296859</vt:lpwstr>
      </vt:variant>
      <vt:variant>
        <vt:i4>1507379</vt:i4>
      </vt:variant>
      <vt:variant>
        <vt:i4>44</vt:i4>
      </vt:variant>
      <vt:variant>
        <vt:i4>0</vt:i4>
      </vt:variant>
      <vt:variant>
        <vt:i4>5</vt:i4>
      </vt:variant>
      <vt:variant>
        <vt:lpwstr/>
      </vt:variant>
      <vt:variant>
        <vt:lpwstr>_Toc210296858</vt:lpwstr>
      </vt:variant>
      <vt:variant>
        <vt:i4>1507379</vt:i4>
      </vt:variant>
      <vt:variant>
        <vt:i4>38</vt:i4>
      </vt:variant>
      <vt:variant>
        <vt:i4>0</vt:i4>
      </vt:variant>
      <vt:variant>
        <vt:i4>5</vt:i4>
      </vt:variant>
      <vt:variant>
        <vt:lpwstr/>
      </vt:variant>
      <vt:variant>
        <vt:lpwstr>_Toc210296857</vt:lpwstr>
      </vt:variant>
      <vt:variant>
        <vt:i4>1507379</vt:i4>
      </vt:variant>
      <vt:variant>
        <vt:i4>32</vt:i4>
      </vt:variant>
      <vt:variant>
        <vt:i4>0</vt:i4>
      </vt:variant>
      <vt:variant>
        <vt:i4>5</vt:i4>
      </vt:variant>
      <vt:variant>
        <vt:lpwstr/>
      </vt:variant>
      <vt:variant>
        <vt:lpwstr>_Toc210296856</vt:lpwstr>
      </vt:variant>
      <vt:variant>
        <vt:i4>1507379</vt:i4>
      </vt:variant>
      <vt:variant>
        <vt:i4>26</vt:i4>
      </vt:variant>
      <vt:variant>
        <vt:i4>0</vt:i4>
      </vt:variant>
      <vt:variant>
        <vt:i4>5</vt:i4>
      </vt:variant>
      <vt:variant>
        <vt:lpwstr/>
      </vt:variant>
      <vt:variant>
        <vt:lpwstr>_Toc210296855</vt:lpwstr>
      </vt:variant>
      <vt:variant>
        <vt:i4>1507379</vt:i4>
      </vt:variant>
      <vt:variant>
        <vt:i4>20</vt:i4>
      </vt:variant>
      <vt:variant>
        <vt:i4>0</vt:i4>
      </vt:variant>
      <vt:variant>
        <vt:i4>5</vt:i4>
      </vt:variant>
      <vt:variant>
        <vt:lpwstr/>
      </vt:variant>
      <vt:variant>
        <vt:lpwstr>_Toc210296854</vt:lpwstr>
      </vt:variant>
      <vt:variant>
        <vt:i4>1507379</vt:i4>
      </vt:variant>
      <vt:variant>
        <vt:i4>14</vt:i4>
      </vt:variant>
      <vt:variant>
        <vt:i4>0</vt:i4>
      </vt:variant>
      <vt:variant>
        <vt:i4>5</vt:i4>
      </vt:variant>
      <vt:variant>
        <vt:lpwstr/>
      </vt:variant>
      <vt:variant>
        <vt:lpwstr>_Toc210296853</vt:lpwstr>
      </vt:variant>
      <vt:variant>
        <vt:i4>1507379</vt:i4>
      </vt:variant>
      <vt:variant>
        <vt:i4>8</vt:i4>
      </vt:variant>
      <vt:variant>
        <vt:i4>0</vt:i4>
      </vt:variant>
      <vt:variant>
        <vt:i4>5</vt:i4>
      </vt:variant>
      <vt:variant>
        <vt:lpwstr/>
      </vt:variant>
      <vt:variant>
        <vt:lpwstr>_Toc210296852</vt:lpwstr>
      </vt:variant>
      <vt:variant>
        <vt:i4>1507379</vt:i4>
      </vt:variant>
      <vt:variant>
        <vt:i4>2</vt:i4>
      </vt:variant>
      <vt:variant>
        <vt:i4>0</vt:i4>
      </vt:variant>
      <vt:variant>
        <vt:i4>5</vt:i4>
      </vt:variant>
      <vt:variant>
        <vt:lpwstr/>
      </vt:variant>
      <vt:variant>
        <vt:lpwstr>_Toc210296851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ezysk</dc:creator>
  <cp:keywords/>
  <dc:description/>
  <cp:lastModifiedBy>Ewa Zysk</cp:lastModifiedBy>
  <cp:revision>2</cp:revision>
  <cp:lastPrinted>2025-10-29T00:02:00Z</cp:lastPrinted>
  <dcterms:created xsi:type="dcterms:W3CDTF">2025-10-29T00:02:00Z</dcterms:created>
  <dcterms:modified xsi:type="dcterms:W3CDTF">2025-10-29T00:02:00Z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0x010100FAD6257D4A9E49498EF129CD344F14FE</vt:lpwstr>
  </property>
  <property fmtid="{D5CDD505-2E9C-101B-9397-08002B2CF9AE}" pid="3" name="MediaServiceImageTags">
    <vt:lpwstr/>
  </property>
</Properties>
</file>