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  <w:r>
        <w:rPr/>
        <w:pict>
          <v:group style="position:absolute;margin-left:0pt;margin-top:.02pt;width:595.2pt;height:375.25pt;mso-position-horizontal-relative:page;mso-position-vertical-relative:page;z-index:-15805952" coordorigin="0,0" coordsize="11904,7505">
            <v:shape style="position:absolute;left:12;top:0;width:11891;height:1935" type="#_x0000_t75" stroked="false">
              <v:imagedata r:id="rId5" o:title=""/>
            </v:shape>
            <v:rect style="position:absolute;left:11867;top:1937;width:36;height:5567" filled="true" fillcolor="#e1e2e3" stroked="false">
              <v:fill type="solid"/>
            </v:rect>
            <v:rect style="position:absolute;left:0;top:1927;width:11868;height:5577" filled="true" fillcolor="#eeefef" stroked="false">
              <v:fill type="solid"/>
            </v:rect>
            <w10:wrap type="none"/>
          </v:group>
        </w:pict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5"/>
        <w:ind w:left="0" w:firstLine="0"/>
        <w:rPr>
          <w:rFonts w:ascii="Times New Roman"/>
          <w:sz w:val="16"/>
        </w:rPr>
      </w:pPr>
    </w:p>
    <w:p>
      <w:pPr>
        <w:pStyle w:val="Title"/>
      </w:pPr>
      <w:r>
        <w:rPr>
          <w:color w:val="4B8594"/>
        </w:rPr>
        <w:t>Physical</w:t>
      </w:r>
      <w:r>
        <w:rPr>
          <w:color w:val="4B8594"/>
          <w:spacing w:val="-6"/>
        </w:rPr>
        <w:t> </w:t>
      </w:r>
      <w:r>
        <w:rPr>
          <w:color w:val="4B8594"/>
        </w:rPr>
        <w:t>Health</w:t>
      </w:r>
      <w:r>
        <w:rPr>
          <w:color w:val="4B8594"/>
          <w:spacing w:val="-7"/>
        </w:rPr>
        <w:t> </w:t>
      </w:r>
      <w:r>
        <w:rPr>
          <w:color w:val="4B8594"/>
        </w:rPr>
        <w:t>and</w:t>
      </w:r>
      <w:r>
        <w:rPr>
          <w:color w:val="4B8594"/>
          <w:spacing w:val="-6"/>
        </w:rPr>
        <w:t> </w:t>
      </w:r>
      <w:r>
        <w:rPr>
          <w:color w:val="4B8594"/>
        </w:rPr>
        <w:t>Activity</w:t>
      </w:r>
    </w:p>
    <w:p>
      <w:pPr>
        <w:pStyle w:val="Heading1"/>
        <w:spacing w:before="240"/>
      </w:pPr>
      <w:r>
        <w:rPr>
          <w:color w:val="44687A"/>
        </w:rPr>
        <w:t>City of</w:t>
      </w:r>
      <w:r>
        <w:rPr>
          <w:color w:val="44687A"/>
          <w:spacing w:val="1"/>
        </w:rPr>
        <w:t> </w:t>
      </w:r>
      <w:r>
        <w:rPr>
          <w:color w:val="44687A"/>
        </w:rPr>
        <w:t>Port Phillip</w:t>
      </w:r>
      <w:r>
        <w:rPr>
          <w:color w:val="44687A"/>
          <w:spacing w:val="-4"/>
        </w:rPr>
        <w:t> </w:t>
      </w:r>
      <w:r>
        <w:rPr>
          <w:color w:val="44687A"/>
        </w:rPr>
        <w:t>Health</w:t>
      </w:r>
      <w:r>
        <w:rPr>
          <w:color w:val="44687A"/>
          <w:spacing w:val="1"/>
        </w:rPr>
        <w:t> </w:t>
      </w:r>
      <w:r>
        <w:rPr>
          <w:color w:val="44687A"/>
        </w:rPr>
        <w:t>Profiles</w:t>
      </w:r>
    </w:p>
    <w:p>
      <w:pPr>
        <w:pStyle w:val="BodyText"/>
        <w:spacing w:before="8"/>
        <w:ind w:left="0" w:firstLine="0"/>
        <w:rPr>
          <w:sz w:val="33"/>
        </w:rPr>
      </w:pPr>
    </w:p>
    <w:p>
      <w:pPr>
        <w:spacing w:line="288" w:lineRule="auto" w:before="1"/>
        <w:ind w:left="109" w:right="117" w:firstLine="0"/>
        <w:jc w:val="left"/>
        <w:rPr>
          <w:sz w:val="28"/>
        </w:rPr>
      </w:pPr>
      <w:r>
        <w:rPr>
          <w:color w:val="4C4D4F"/>
          <w:sz w:val="28"/>
        </w:rPr>
        <w:t>Most Port Phillip residents have high levels of self-reported health and life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satisfaction and are participating in health promoting behaviours like physical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activity. Regular physical activity such as walking, bike riding, or dancing has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significant benefits for health. It reduces the risk of obesity, cardiovascular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disease, diabetes, and some cancers as well as contributing to mental well-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being. Participation in physical activity also increases opportunities for making</w:t>
      </w:r>
      <w:r>
        <w:rPr>
          <w:color w:val="4C4D4F"/>
          <w:spacing w:val="-75"/>
          <w:sz w:val="28"/>
        </w:rPr>
        <w:t> </w:t>
      </w:r>
      <w:r>
        <w:rPr>
          <w:color w:val="4C4D4F"/>
          <w:sz w:val="28"/>
        </w:rPr>
        <w:t>friends and feeling part of the community. Increasing active living is on of the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four focus areas identified by the Victorian Public Health and Wellbeing Plan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2021-2025.</w:t>
      </w:r>
    </w:p>
    <w:p>
      <w:pPr>
        <w:pStyle w:val="BodyText"/>
        <w:spacing w:before="11"/>
        <w:ind w:left="0" w:firstLine="0"/>
        <w:rPr>
          <w:sz w:val="36"/>
        </w:rPr>
      </w:pPr>
    </w:p>
    <w:p>
      <w:pPr>
        <w:pStyle w:val="Heading1"/>
      </w:pPr>
      <w:r>
        <w:rPr>
          <w:color w:val="44687A"/>
        </w:rPr>
        <w:t>What is</w:t>
      </w:r>
      <w:r>
        <w:rPr>
          <w:color w:val="44687A"/>
          <w:spacing w:val="-1"/>
        </w:rPr>
        <w:t> </w:t>
      </w:r>
      <w:r>
        <w:rPr>
          <w:color w:val="44687A"/>
        </w:rPr>
        <w:t>physical</w:t>
      </w:r>
      <w:r>
        <w:rPr>
          <w:color w:val="44687A"/>
          <w:spacing w:val="-2"/>
        </w:rPr>
        <w:t> </w:t>
      </w:r>
      <w:r>
        <w:rPr>
          <w:color w:val="44687A"/>
        </w:rPr>
        <w:t>activity?</w:t>
      </w:r>
    </w:p>
    <w:p>
      <w:pPr>
        <w:pStyle w:val="BodyText"/>
        <w:spacing w:line="288" w:lineRule="auto" w:before="188"/>
        <w:ind w:left="109" w:right="582" w:firstLine="0"/>
      </w:pPr>
      <w:r>
        <w:rPr>
          <w:color w:val="4C4D4F"/>
        </w:rPr>
        <w:t>Physical activity refers to all movement. Popular ways to be active include walking, bike riding,</w:t>
      </w:r>
      <w:r>
        <w:rPr>
          <w:color w:val="4C4D4F"/>
          <w:spacing w:val="-59"/>
        </w:rPr>
        <w:t> </w:t>
      </w:r>
      <w:r>
        <w:rPr>
          <w:color w:val="4C4D4F"/>
        </w:rPr>
        <w:t>wheeling, sports, active recreation and play, and can be done at any level of skill and for</w:t>
      </w:r>
      <w:r>
        <w:rPr>
          <w:color w:val="4C4D4F"/>
          <w:spacing w:val="1"/>
        </w:rPr>
        <w:t> </w:t>
      </w:r>
      <w:r>
        <w:rPr>
          <w:color w:val="4C4D4F"/>
        </w:rPr>
        <w:t>enjoyment</w:t>
      </w:r>
      <w:r>
        <w:rPr>
          <w:color w:val="4C4D4F"/>
          <w:spacing w:val="-1"/>
        </w:rPr>
        <w:t> </w:t>
      </w:r>
      <w:r>
        <w:rPr>
          <w:color w:val="4C4D4F"/>
        </w:rPr>
        <w:t>by everybody</w:t>
      </w:r>
      <w:r>
        <w:rPr>
          <w:color w:val="4C4D4F"/>
          <w:spacing w:val="-4"/>
        </w:rPr>
        <w:t> </w:t>
      </w:r>
      <w:r>
        <w:rPr>
          <w:color w:val="4C4D4F"/>
        </w:rPr>
        <w:t>(World</w:t>
      </w:r>
      <w:r>
        <w:rPr>
          <w:color w:val="4C4D4F"/>
          <w:spacing w:val="-3"/>
        </w:rPr>
        <w:t> </w:t>
      </w:r>
      <w:r>
        <w:rPr>
          <w:color w:val="4C4D4F"/>
        </w:rPr>
        <w:t>Health</w:t>
      </w:r>
      <w:r>
        <w:rPr>
          <w:color w:val="4C4D4F"/>
          <w:spacing w:val="-2"/>
        </w:rPr>
        <w:t> </w:t>
      </w:r>
      <w:r>
        <w:rPr>
          <w:color w:val="4C4D4F"/>
        </w:rPr>
        <w:t>Organization,</w:t>
      </w:r>
      <w:r>
        <w:rPr>
          <w:color w:val="4C4D4F"/>
          <w:spacing w:val="2"/>
        </w:rPr>
        <w:t> </w:t>
      </w:r>
      <w:r>
        <w:rPr>
          <w:color w:val="4C4D4F"/>
        </w:rPr>
        <w:t>2020).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144"/>
      </w:pPr>
      <w:r>
        <w:rPr>
          <w:color w:val="44687A"/>
        </w:rPr>
        <w:t>What are</w:t>
      </w:r>
      <w:r>
        <w:rPr>
          <w:color w:val="44687A"/>
          <w:spacing w:val="-3"/>
        </w:rPr>
        <w:t> </w:t>
      </w:r>
      <w:r>
        <w:rPr>
          <w:color w:val="44687A"/>
        </w:rPr>
        <w:t>the</w:t>
      </w:r>
      <w:r>
        <w:rPr>
          <w:color w:val="44687A"/>
          <w:spacing w:val="-3"/>
        </w:rPr>
        <w:t> </w:t>
      </w:r>
      <w:r>
        <w:rPr>
          <w:color w:val="44687A"/>
        </w:rPr>
        <w:t>rates</w:t>
      </w:r>
      <w:r>
        <w:rPr>
          <w:color w:val="44687A"/>
          <w:spacing w:val="-4"/>
        </w:rPr>
        <w:t> </w:t>
      </w:r>
      <w:r>
        <w:rPr>
          <w:color w:val="44687A"/>
        </w:rPr>
        <w:t>of</w:t>
      </w:r>
      <w:r>
        <w:rPr>
          <w:color w:val="44687A"/>
          <w:spacing w:val="-1"/>
        </w:rPr>
        <w:t> </w:t>
      </w:r>
      <w:r>
        <w:rPr>
          <w:color w:val="44687A"/>
        </w:rPr>
        <w:t>physical activity</w:t>
      </w:r>
      <w:r>
        <w:rPr>
          <w:color w:val="44687A"/>
          <w:spacing w:val="1"/>
        </w:rPr>
        <w:t> </w:t>
      </w:r>
      <w:r>
        <w:rPr>
          <w:color w:val="44687A"/>
        </w:rPr>
        <w:t>in</w:t>
      </w:r>
      <w:r>
        <w:rPr>
          <w:color w:val="44687A"/>
          <w:spacing w:val="-1"/>
        </w:rPr>
        <w:t> </w:t>
      </w:r>
      <w:r>
        <w:rPr>
          <w:color w:val="44687A"/>
        </w:rPr>
        <w:t>the</w:t>
      </w:r>
      <w:r>
        <w:rPr>
          <w:color w:val="44687A"/>
          <w:spacing w:val="-3"/>
        </w:rPr>
        <w:t> </w:t>
      </w:r>
      <w:r>
        <w:rPr>
          <w:color w:val="44687A"/>
        </w:rPr>
        <w:t>Port</w:t>
      </w:r>
      <w:r>
        <w:rPr>
          <w:color w:val="44687A"/>
          <w:spacing w:val="-1"/>
        </w:rPr>
        <w:t> </w:t>
      </w:r>
      <w:r>
        <w:rPr>
          <w:color w:val="44687A"/>
        </w:rPr>
        <w:t>Phillip</w:t>
      </w:r>
      <w:r>
        <w:rPr>
          <w:color w:val="44687A"/>
          <w:spacing w:val="-5"/>
        </w:rPr>
        <w:t> </w:t>
      </w:r>
      <w:r>
        <w:rPr>
          <w:color w:val="44687A"/>
        </w:rPr>
        <w:t>community?</w:t>
      </w:r>
    </w:p>
    <w:p>
      <w:pPr>
        <w:pStyle w:val="BodyText"/>
        <w:spacing w:line="400" w:lineRule="auto" w:before="188"/>
        <w:ind w:left="109" w:right="3003" w:firstLine="0"/>
      </w:pPr>
      <w:r>
        <w:rPr>
          <w:color w:val="4C4D4F"/>
        </w:rPr>
        <w:t>Port Phillip adults report high rates of participation in physical activity.</w:t>
      </w:r>
      <w:r>
        <w:rPr>
          <w:color w:val="4C4D4F"/>
          <w:spacing w:val="-59"/>
        </w:rPr>
        <w:t> </w:t>
      </w:r>
      <w:r>
        <w:rPr>
          <w:color w:val="4C4D4F"/>
        </w:rPr>
        <w:t>In</w:t>
      </w:r>
      <w:r>
        <w:rPr>
          <w:color w:val="4C4D4F"/>
          <w:spacing w:val="-1"/>
        </w:rPr>
        <w:t> </w:t>
      </w:r>
      <w:r>
        <w:rPr>
          <w:color w:val="4C4D4F"/>
        </w:rPr>
        <w:t>2015: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66" w:lineRule="auto" w:before="1" w:after="0"/>
        <w:ind w:left="829" w:right="203" w:hanging="360"/>
        <w:jc w:val="left"/>
        <w:rPr>
          <w:rFonts w:ascii="Symbol" w:hAnsi="Symbol"/>
          <w:color w:val="4C4D4F"/>
          <w:sz w:val="24"/>
        </w:rPr>
      </w:pPr>
      <w:r>
        <w:rPr>
          <w:color w:val="4C4D4F"/>
          <w:sz w:val="22"/>
        </w:rPr>
        <w:t>59.9 per cent met the physical activity guidelines (higher than the Victorian average of 50.9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per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cent).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22" w:after="0"/>
        <w:ind w:left="829" w:right="376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85.7 per cent participated in non-organised sporting activity (higher than the Victorian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average of 70.5 per cent) and approximately 50 per cent of residents participated in sport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recreation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daily.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66" w:lineRule="auto" w:before="4" w:after="0"/>
        <w:ind w:left="829" w:right="579" w:hanging="360"/>
        <w:jc w:val="left"/>
        <w:rPr>
          <w:rFonts w:ascii="Symbol" w:hAnsi="Symbol"/>
          <w:color w:val="4C4D4F"/>
          <w:sz w:val="24"/>
        </w:rPr>
      </w:pPr>
      <w:r>
        <w:rPr>
          <w:color w:val="4C4D4F"/>
          <w:sz w:val="22"/>
        </w:rPr>
        <w:t>53 per cent of residents engaged in physical activity four or more days per week (again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higher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than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Victorian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average of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41.3 per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cent).</w:t>
      </w:r>
    </w:p>
    <w:p>
      <w:pPr>
        <w:pStyle w:val="BodyText"/>
        <w:spacing w:before="140"/>
        <w:ind w:left="109" w:firstLine="0"/>
      </w:pPr>
      <w:r>
        <w:rPr>
          <w:color w:val="4C4D4F"/>
        </w:rPr>
        <w:t>In</w:t>
      </w:r>
      <w:r>
        <w:rPr>
          <w:color w:val="4C4D4F"/>
          <w:spacing w:val="-1"/>
        </w:rPr>
        <w:t> </w:t>
      </w:r>
      <w:r>
        <w:rPr>
          <w:color w:val="4C4D4F"/>
        </w:rPr>
        <w:t>2017: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78" w:lineRule="auto" w:before="174" w:after="0"/>
        <w:ind w:left="829" w:right="903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10.2 per cent of Port Phillip adults were obese (significantly lower than the Victorian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average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 19.3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per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cent)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(Department 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Human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Services,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2017)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83" w:lineRule="auto" w:before="11" w:after="0"/>
        <w:ind w:left="829" w:right="224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Over the past ten years, how people engage in physical activity and sport participation has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changed. More people are involved in social sporting activities and less in traditional, club-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based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sport (VicHealth,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2017).</w:t>
      </w:r>
    </w:p>
    <w:p>
      <w:pPr>
        <w:spacing w:after="0" w:line="283" w:lineRule="auto"/>
        <w:jc w:val="both"/>
        <w:rPr>
          <w:rFonts w:ascii="Symbol" w:hAnsi="Symbol"/>
          <w:sz w:val="22"/>
        </w:rPr>
        <w:sectPr>
          <w:type w:val="continuous"/>
          <w:pgSz w:w="11910" w:h="16840"/>
          <w:pgMar w:top="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47" w:after="0"/>
        <w:ind w:left="829" w:right="289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 three most popular non-organised physical activities in Port Phillip were walking (54.6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per cent), cycling (25.2 per cent) and jogging or running (19.9 per cent) (Department 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 Human Services,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2017).</w:t>
      </w:r>
    </w:p>
    <w:p>
      <w:pPr>
        <w:pStyle w:val="BodyText"/>
        <w:spacing w:before="10"/>
        <w:ind w:left="0" w:firstLine="0"/>
        <w:rPr>
          <w:sz w:val="33"/>
        </w:rPr>
      </w:pPr>
    </w:p>
    <w:p>
      <w:pPr>
        <w:pStyle w:val="Heading1"/>
        <w:spacing w:before="1"/>
        <w:jc w:val="both"/>
      </w:pPr>
      <w:r>
        <w:rPr>
          <w:color w:val="44687A"/>
        </w:rPr>
        <w:t>How</w:t>
      </w:r>
      <w:r>
        <w:rPr>
          <w:color w:val="44687A"/>
          <w:spacing w:val="-1"/>
        </w:rPr>
        <w:t> </w:t>
      </w:r>
      <w:r>
        <w:rPr>
          <w:color w:val="44687A"/>
        </w:rPr>
        <w:t>do</w:t>
      </w:r>
      <w:r>
        <w:rPr>
          <w:color w:val="44687A"/>
          <w:spacing w:val="-4"/>
        </w:rPr>
        <w:t> </w:t>
      </w:r>
      <w:r>
        <w:rPr>
          <w:color w:val="44687A"/>
        </w:rPr>
        <w:t>physical</w:t>
      </w:r>
      <w:r>
        <w:rPr>
          <w:color w:val="44687A"/>
          <w:spacing w:val="-2"/>
        </w:rPr>
        <w:t> </w:t>
      </w:r>
      <w:r>
        <w:rPr>
          <w:color w:val="44687A"/>
        </w:rPr>
        <w:t>activity levels</w:t>
      </w:r>
      <w:r>
        <w:rPr>
          <w:color w:val="44687A"/>
          <w:spacing w:val="-2"/>
        </w:rPr>
        <w:t> </w:t>
      </w:r>
      <w:r>
        <w:rPr>
          <w:color w:val="44687A"/>
        </w:rPr>
        <w:t>differ</w:t>
      </w:r>
      <w:r>
        <w:rPr>
          <w:color w:val="44687A"/>
          <w:spacing w:val="-2"/>
        </w:rPr>
        <w:t> </w:t>
      </w:r>
      <w:r>
        <w:rPr>
          <w:color w:val="44687A"/>
        </w:rPr>
        <w:t>for some</w:t>
      </w:r>
      <w:r>
        <w:rPr>
          <w:color w:val="44687A"/>
          <w:spacing w:val="-4"/>
        </w:rPr>
        <w:t> </w:t>
      </w:r>
      <w:r>
        <w:rPr>
          <w:color w:val="44687A"/>
        </w:rPr>
        <w:t>groups</w:t>
      </w:r>
      <w:r>
        <w:rPr>
          <w:color w:val="44687A"/>
          <w:spacing w:val="-1"/>
        </w:rPr>
        <w:t> </w:t>
      </w:r>
      <w:r>
        <w:rPr>
          <w:color w:val="44687A"/>
        </w:rPr>
        <w:t>in</w:t>
      </w:r>
      <w:r>
        <w:rPr>
          <w:color w:val="44687A"/>
          <w:spacing w:val="-4"/>
        </w:rPr>
        <w:t> </w:t>
      </w:r>
      <w:r>
        <w:rPr>
          <w:color w:val="44687A"/>
        </w:rPr>
        <w:t>our</w:t>
      </w:r>
      <w:r>
        <w:rPr>
          <w:color w:val="44687A"/>
          <w:spacing w:val="-2"/>
        </w:rPr>
        <w:t> </w:t>
      </w:r>
      <w:r>
        <w:rPr>
          <w:color w:val="44687A"/>
        </w:rPr>
        <w:t>community?</w:t>
      </w:r>
    </w:p>
    <w:p>
      <w:pPr>
        <w:pStyle w:val="BodyText"/>
        <w:spacing w:line="288" w:lineRule="auto" w:before="187"/>
        <w:ind w:left="109" w:right="899" w:firstLine="0"/>
        <w:jc w:val="both"/>
      </w:pPr>
      <w:r>
        <w:rPr>
          <w:color w:val="4C4D4F"/>
        </w:rPr>
        <w:t>While data on the participation of specific sections of our communities in physical activity is</w:t>
      </w:r>
      <w:r>
        <w:rPr>
          <w:color w:val="4C4D4F"/>
          <w:spacing w:val="-59"/>
        </w:rPr>
        <w:t> </w:t>
      </w:r>
      <w:r>
        <w:rPr>
          <w:color w:val="4C4D4F"/>
        </w:rPr>
        <w:t>unreliable, global, national, and state research indicates that rates of physical inactivity and</w:t>
      </w:r>
      <w:r>
        <w:rPr>
          <w:color w:val="4C4D4F"/>
          <w:spacing w:val="-59"/>
        </w:rPr>
        <w:t> </w:t>
      </w:r>
      <w:r>
        <w:rPr>
          <w:color w:val="4C4D4F"/>
        </w:rPr>
        <w:t>sedentary</w:t>
      </w:r>
      <w:r>
        <w:rPr>
          <w:color w:val="4C4D4F"/>
          <w:spacing w:val="-3"/>
        </w:rPr>
        <w:t> </w:t>
      </w:r>
      <w:r>
        <w:rPr>
          <w:color w:val="4C4D4F"/>
        </w:rPr>
        <w:t>lifestyles</w:t>
      </w:r>
      <w:r>
        <w:rPr>
          <w:color w:val="4C4D4F"/>
          <w:spacing w:val="-1"/>
        </w:rPr>
        <w:t> </w:t>
      </w:r>
      <w:r>
        <w:rPr>
          <w:color w:val="4C4D4F"/>
        </w:rPr>
        <w:t>are</w:t>
      </w:r>
      <w:r>
        <w:rPr>
          <w:color w:val="4C4D4F"/>
          <w:spacing w:val="-2"/>
        </w:rPr>
        <w:t> </w:t>
      </w:r>
      <w:r>
        <w:rPr>
          <w:color w:val="4C4D4F"/>
        </w:rPr>
        <w:t>not</w:t>
      </w:r>
      <w:r>
        <w:rPr>
          <w:color w:val="4C4D4F"/>
          <w:spacing w:val="1"/>
        </w:rPr>
        <w:t> </w:t>
      </w:r>
      <w:r>
        <w:rPr>
          <w:color w:val="4C4D4F"/>
        </w:rPr>
        <w:t>evenly</w:t>
      </w:r>
      <w:r>
        <w:rPr>
          <w:color w:val="4C4D4F"/>
          <w:spacing w:val="-2"/>
        </w:rPr>
        <w:t> </w:t>
      </w:r>
      <w:r>
        <w:rPr>
          <w:color w:val="4C4D4F"/>
        </w:rPr>
        <w:t>distributed</w:t>
      </w:r>
      <w:r>
        <w:rPr>
          <w:color w:val="4C4D4F"/>
          <w:spacing w:val="-1"/>
        </w:rPr>
        <w:t> </w:t>
      </w:r>
      <w:r>
        <w:rPr>
          <w:color w:val="4C4D4F"/>
        </w:rPr>
        <w:t>across communities.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1" w:after="0"/>
        <w:ind w:left="829" w:right="264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From early adulthood onwards, people with lower levels of education, on lower incomes or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living in socioeconomically disadvantaged neighbourhoods are less likely to participate in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physical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activity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more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likely to live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sedentary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lifestyles.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5" w:after="0"/>
        <w:ind w:left="829" w:right="22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Access to physical activity opportunities within schools, workplaces and other key settings,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 availability of social support for activity from family, friends, peers or health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professionals is important in encouraging lifelong physical activity. People with less access</w:t>
      </w:r>
      <w:r>
        <w:rPr>
          <w:color w:val="4C4D4F"/>
          <w:spacing w:val="-59"/>
          <w:sz w:val="22"/>
        </w:rPr>
        <w:t> </w:t>
      </w:r>
      <w:r>
        <w:rPr>
          <w:color w:val="4C4D4F"/>
          <w:spacing w:val="-1"/>
          <w:sz w:val="22"/>
        </w:rPr>
        <w:t>to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opportunities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engage</w:t>
      </w:r>
      <w:r>
        <w:rPr>
          <w:color w:val="4C4D4F"/>
          <w:sz w:val="22"/>
        </w:rPr>
        <w:t> in sport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other forms of activity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tend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 be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less</w:t>
      </w:r>
      <w:r>
        <w:rPr>
          <w:color w:val="4C4D4F"/>
          <w:spacing w:val="-19"/>
          <w:sz w:val="22"/>
        </w:rPr>
        <w:t> </w:t>
      </w:r>
      <w:r>
        <w:rPr>
          <w:color w:val="4C4D4F"/>
          <w:sz w:val="22"/>
        </w:rPr>
        <w:t>active.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28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Aboriginal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Australians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are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significantly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less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likely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be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physically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active.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2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Women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are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less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active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than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men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throughout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their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lifespan.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80" w:lineRule="auto" w:before="165" w:after="0"/>
        <w:ind w:left="830" w:right="56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There is emerging evidence of the links between a person’s socio-economic status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certain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sedentary behaviours,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including increased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screen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time.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8" w:lineRule="auto" w:before="128" w:after="0"/>
        <w:ind w:left="830" w:right="239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Those who experience social isolation and lack civic and social engagement are less likely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be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active.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83" w:lineRule="auto" w:before="133" w:after="0"/>
        <w:ind w:left="830" w:right="204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Physical activity levels vary significantly across workplaces. Individuals with a lower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socioeconomic status are more likely to hold jobs that involve a relatively high level 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occupational activity. However, high levels of occupational activity are also associated with</w:t>
      </w:r>
      <w:r>
        <w:rPr>
          <w:color w:val="4C4D4F"/>
          <w:spacing w:val="-59"/>
          <w:sz w:val="22"/>
        </w:rPr>
        <w:t> </w:t>
      </w:r>
      <w:r>
        <w:rPr>
          <w:color w:val="4C4D4F"/>
          <w:spacing w:val="-1"/>
          <w:sz w:val="22"/>
        </w:rPr>
        <w:t>lower</w:t>
      </w:r>
      <w:r>
        <w:rPr>
          <w:color w:val="4C4D4F"/>
          <w:spacing w:val="2"/>
          <w:sz w:val="22"/>
        </w:rPr>
        <w:t> </w:t>
      </w:r>
      <w:r>
        <w:rPr>
          <w:color w:val="4C4D4F"/>
          <w:spacing w:val="-1"/>
          <w:sz w:val="22"/>
        </w:rPr>
        <w:t>levels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of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leisure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time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physical</w:t>
      </w:r>
      <w:r>
        <w:rPr>
          <w:color w:val="4C4D4F"/>
          <w:sz w:val="22"/>
        </w:rPr>
        <w:t> activity,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 higher</w:t>
      </w:r>
      <w:r>
        <w:rPr>
          <w:color w:val="4C4D4F"/>
          <w:spacing w:val="3"/>
          <w:sz w:val="22"/>
        </w:rPr>
        <w:t> </w:t>
      </w:r>
      <w:r>
        <w:rPr>
          <w:color w:val="4C4D4F"/>
          <w:sz w:val="22"/>
        </w:rPr>
        <w:t>levels of sedentary</w:t>
      </w:r>
      <w:r>
        <w:rPr>
          <w:color w:val="4C4D4F"/>
          <w:spacing w:val="-27"/>
          <w:sz w:val="22"/>
        </w:rPr>
        <w:t> </w:t>
      </w:r>
      <w:r>
        <w:rPr>
          <w:color w:val="4C4D4F"/>
          <w:sz w:val="22"/>
        </w:rPr>
        <w:t>behaviours.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6" w:lineRule="auto" w:before="126" w:after="0"/>
        <w:ind w:left="830" w:right="533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People living with disabilities often face social and attitudinal barriers to physical activity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(VicHealth,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2015).</w:t>
      </w:r>
    </w:p>
    <w:p>
      <w:pPr>
        <w:pStyle w:val="Heading1"/>
        <w:spacing w:before="130"/>
        <w:jc w:val="both"/>
      </w:pPr>
      <w:r>
        <w:rPr>
          <w:color w:val="44687A"/>
        </w:rPr>
        <w:t>How</w:t>
      </w:r>
      <w:r>
        <w:rPr>
          <w:color w:val="44687A"/>
          <w:spacing w:val="-1"/>
        </w:rPr>
        <w:t> </w:t>
      </w:r>
      <w:r>
        <w:rPr>
          <w:color w:val="44687A"/>
        </w:rPr>
        <w:t>has</w:t>
      </w:r>
      <w:r>
        <w:rPr>
          <w:color w:val="44687A"/>
          <w:spacing w:val="-2"/>
        </w:rPr>
        <w:t> </w:t>
      </w:r>
      <w:r>
        <w:rPr>
          <w:color w:val="44687A"/>
        </w:rPr>
        <w:t>COVID-19</w:t>
      </w:r>
      <w:r>
        <w:rPr>
          <w:color w:val="44687A"/>
          <w:spacing w:val="-2"/>
        </w:rPr>
        <w:t> </w:t>
      </w:r>
      <w:r>
        <w:rPr>
          <w:color w:val="44687A"/>
        </w:rPr>
        <w:t>affected</w:t>
      </w:r>
      <w:r>
        <w:rPr>
          <w:color w:val="44687A"/>
          <w:spacing w:val="-4"/>
        </w:rPr>
        <w:t> </w:t>
      </w:r>
      <w:r>
        <w:rPr>
          <w:color w:val="44687A"/>
        </w:rPr>
        <w:t>community</w:t>
      </w:r>
      <w:r>
        <w:rPr>
          <w:color w:val="44687A"/>
          <w:spacing w:val="-3"/>
        </w:rPr>
        <w:t> </w:t>
      </w:r>
      <w:r>
        <w:rPr>
          <w:color w:val="44687A"/>
        </w:rPr>
        <w:t>physical</w:t>
      </w:r>
      <w:r>
        <w:rPr>
          <w:color w:val="44687A"/>
          <w:spacing w:val="-3"/>
        </w:rPr>
        <w:t> </w:t>
      </w:r>
      <w:r>
        <w:rPr>
          <w:color w:val="44687A"/>
        </w:rPr>
        <w:t>health?</w:t>
      </w:r>
    </w:p>
    <w:p>
      <w:pPr>
        <w:pStyle w:val="BodyText"/>
        <w:spacing w:before="188"/>
        <w:ind w:left="109" w:right="288" w:firstLine="0"/>
      </w:pPr>
      <w:r>
        <w:rPr>
          <w:color w:val="4C4D4F"/>
        </w:rPr>
        <w:t>Victorians in the first coronavirus lockdown of 2020 tended to remain physically active (VicHealth,</w:t>
      </w:r>
      <w:r>
        <w:rPr>
          <w:color w:val="4C4D4F"/>
          <w:spacing w:val="-59"/>
        </w:rPr>
        <w:t> </w:t>
      </w:r>
      <w:r>
        <w:rPr>
          <w:color w:val="4C4D4F"/>
        </w:rPr>
        <w:t>2020),</w:t>
      </w:r>
      <w:r>
        <w:rPr>
          <w:color w:val="4C4D4F"/>
          <w:spacing w:val="-1"/>
        </w:rPr>
        <w:t> </w:t>
      </w:r>
      <w:r>
        <w:rPr>
          <w:color w:val="4C4D4F"/>
        </w:rPr>
        <w:t>but there were some limiting</w:t>
      </w:r>
      <w:r>
        <w:rPr>
          <w:color w:val="4C4D4F"/>
          <w:spacing w:val="-2"/>
        </w:rPr>
        <w:t> </w:t>
      </w:r>
      <w:r>
        <w:rPr>
          <w:color w:val="4C4D4F"/>
        </w:rPr>
        <w:t>factors: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37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per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cent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exercised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less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first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lockdown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compared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previous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month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(February</w:t>
      </w:r>
    </w:p>
    <w:p>
      <w:pPr>
        <w:pStyle w:val="BodyText"/>
        <w:spacing w:before="43"/>
        <w:ind w:firstLine="0"/>
      </w:pPr>
      <w:r>
        <w:rPr>
          <w:color w:val="4C4D4F"/>
        </w:rPr>
        <w:t>2020).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74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27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per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cent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were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physically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inactive.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3" w:lineRule="auto" w:before="167" w:after="0"/>
        <w:ind w:left="829" w:right="63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Almost 1 in 5 people who reported exercising less in lockdown said they had no one to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exercise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with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or did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not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feel safe exercising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outside.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36" w:after="0"/>
        <w:ind w:left="829" w:right="40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1 in 3 who were more active during lockdown were motivated by wanting to improve their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health,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 get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out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 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house and/or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have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more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free</w:t>
      </w:r>
      <w:r>
        <w:rPr>
          <w:color w:val="4C4D4F"/>
          <w:spacing w:val="-9"/>
          <w:sz w:val="22"/>
        </w:rPr>
        <w:t> </w:t>
      </w:r>
      <w:r>
        <w:rPr>
          <w:color w:val="4C4D4F"/>
          <w:sz w:val="22"/>
        </w:rPr>
        <w:t>time.</w:t>
      </w:r>
    </w:p>
    <w:p>
      <w:pPr>
        <w:spacing w:after="0" w:line="278" w:lineRule="auto"/>
        <w:jc w:val="left"/>
        <w:rPr>
          <w:rFonts w:ascii="Symbol" w:hAnsi="Symbol"/>
          <w:sz w:val="22"/>
        </w:rPr>
        <w:sectPr>
          <w:headerReference w:type="default" r:id="rId6"/>
          <w:pgSz w:w="11910" w:h="16840"/>
          <w:pgMar w:header="0" w:footer="0" w:top="198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71" w:after="0"/>
        <w:ind w:left="829" w:right="521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Overall, for some people COVID-19 led to an increase in use of IT and home gym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equipment to sustain physical health whilst for others it has led to adoption of sedentary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lifestyles.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1"/>
        <w:ind w:left="0" w:firstLine="0"/>
        <w:rPr>
          <w:sz w:val="23"/>
        </w:rPr>
      </w:pPr>
    </w:p>
    <w:p>
      <w:pPr>
        <w:pStyle w:val="Heading1"/>
      </w:pPr>
      <w:r>
        <w:rPr>
          <w:color w:val="44687A"/>
        </w:rPr>
        <w:t>Why</w:t>
      </w:r>
      <w:r>
        <w:rPr>
          <w:color w:val="44687A"/>
          <w:spacing w:val="-1"/>
        </w:rPr>
        <w:t> </w:t>
      </w:r>
      <w:r>
        <w:rPr>
          <w:color w:val="44687A"/>
        </w:rPr>
        <w:t>is</w:t>
      </w:r>
      <w:r>
        <w:rPr>
          <w:color w:val="44687A"/>
          <w:spacing w:val="-2"/>
        </w:rPr>
        <w:t> </w:t>
      </w:r>
      <w:r>
        <w:rPr>
          <w:color w:val="44687A"/>
        </w:rPr>
        <w:t>managing</w:t>
      </w:r>
      <w:r>
        <w:rPr>
          <w:color w:val="44687A"/>
          <w:spacing w:val="-4"/>
        </w:rPr>
        <w:t> </w:t>
      </w:r>
      <w:r>
        <w:rPr>
          <w:color w:val="44687A"/>
        </w:rPr>
        <w:t>physical</w:t>
      </w:r>
      <w:r>
        <w:rPr>
          <w:color w:val="44687A"/>
          <w:spacing w:val="-3"/>
        </w:rPr>
        <w:t> </w:t>
      </w:r>
      <w:r>
        <w:rPr>
          <w:color w:val="44687A"/>
        </w:rPr>
        <w:t>activity</w:t>
      </w:r>
      <w:r>
        <w:rPr>
          <w:color w:val="44687A"/>
          <w:spacing w:val="-2"/>
        </w:rPr>
        <w:t> </w:t>
      </w:r>
      <w:r>
        <w:rPr>
          <w:color w:val="44687A"/>
        </w:rPr>
        <w:t>important</w:t>
      </w:r>
      <w:r>
        <w:rPr>
          <w:color w:val="44687A"/>
          <w:spacing w:val="-3"/>
        </w:rPr>
        <w:t> </w:t>
      </w:r>
      <w:r>
        <w:rPr>
          <w:color w:val="44687A"/>
        </w:rPr>
        <w:t>for</w:t>
      </w:r>
      <w:r>
        <w:rPr>
          <w:color w:val="44687A"/>
          <w:spacing w:val="-3"/>
        </w:rPr>
        <w:t> </w:t>
      </w:r>
      <w:r>
        <w:rPr>
          <w:color w:val="44687A"/>
        </w:rPr>
        <w:t>our</w:t>
      </w:r>
      <w:r>
        <w:rPr>
          <w:color w:val="44687A"/>
          <w:spacing w:val="-3"/>
        </w:rPr>
        <w:t> </w:t>
      </w:r>
      <w:r>
        <w:rPr>
          <w:color w:val="44687A"/>
        </w:rPr>
        <w:t>community?</w:t>
      </w:r>
    </w:p>
    <w:p>
      <w:pPr>
        <w:pStyle w:val="BodyText"/>
        <w:spacing w:line="288" w:lineRule="auto" w:before="188"/>
        <w:ind w:left="109" w:right="159" w:firstLine="0"/>
        <w:jc w:val="both"/>
      </w:pPr>
      <w:r>
        <w:rPr>
          <w:color w:val="4C4D4F"/>
        </w:rPr>
        <w:t>Less than a third of Australians are getting enough physical activity to benefit their health. This can</w:t>
      </w:r>
      <w:r>
        <w:rPr>
          <w:color w:val="4C4D4F"/>
          <w:spacing w:val="-59"/>
        </w:rPr>
        <w:t> </w:t>
      </w:r>
      <w:r>
        <w:rPr>
          <w:color w:val="4C4D4F"/>
        </w:rPr>
        <w:t>lead to increased risks of chronic disease and mental ill health and has been estimated to cost the</w:t>
      </w:r>
      <w:r>
        <w:rPr>
          <w:color w:val="4C4D4F"/>
          <w:spacing w:val="1"/>
        </w:rPr>
        <w:t> </w:t>
      </w:r>
      <w:r>
        <w:rPr>
          <w:color w:val="4C4D4F"/>
        </w:rPr>
        <w:t>Australian</w:t>
      </w:r>
      <w:r>
        <w:rPr>
          <w:color w:val="4C4D4F"/>
          <w:spacing w:val="-1"/>
        </w:rPr>
        <w:t> </w:t>
      </w:r>
      <w:r>
        <w:rPr>
          <w:color w:val="4C4D4F"/>
        </w:rPr>
        <w:t>economy a</w:t>
      </w:r>
      <w:r>
        <w:rPr>
          <w:color w:val="4C4D4F"/>
          <w:spacing w:val="-5"/>
        </w:rPr>
        <w:t> </w:t>
      </w:r>
      <w:r>
        <w:rPr>
          <w:color w:val="4C4D4F"/>
        </w:rPr>
        <w:t>total of</w:t>
      </w:r>
      <w:r>
        <w:rPr>
          <w:color w:val="4C4D4F"/>
          <w:spacing w:val="1"/>
        </w:rPr>
        <w:t> </w:t>
      </w:r>
      <w:r>
        <w:rPr>
          <w:color w:val="4C4D4F"/>
        </w:rPr>
        <w:t>$13.8 billion</w:t>
      </w:r>
      <w:r>
        <w:rPr>
          <w:color w:val="4C4D4F"/>
          <w:spacing w:val="-1"/>
        </w:rPr>
        <w:t> </w:t>
      </w:r>
      <w:r>
        <w:rPr>
          <w:color w:val="4C4D4F"/>
        </w:rPr>
        <w:t>each year</w:t>
      </w:r>
      <w:r>
        <w:rPr>
          <w:color w:val="4C4D4F"/>
          <w:spacing w:val="-1"/>
        </w:rPr>
        <w:t> </w:t>
      </w:r>
      <w:r>
        <w:rPr>
          <w:color w:val="4C4D4F"/>
        </w:rPr>
        <w:t>(VicHealth,</w:t>
      </w:r>
      <w:r>
        <w:rPr>
          <w:color w:val="4C4D4F"/>
          <w:spacing w:val="1"/>
        </w:rPr>
        <w:t> </w:t>
      </w:r>
      <w:r>
        <w:rPr>
          <w:color w:val="4C4D4F"/>
        </w:rPr>
        <w:t>2019).</w:t>
      </w:r>
    </w:p>
    <w:p>
      <w:pPr>
        <w:pStyle w:val="BodyText"/>
        <w:spacing w:line="288" w:lineRule="auto" w:before="121"/>
        <w:ind w:left="109" w:right="153" w:firstLine="0"/>
      </w:pPr>
      <w:r>
        <w:rPr>
          <w:color w:val="4C4D4F"/>
        </w:rPr>
        <w:t>Increasing participation in physical activity has health, social and economic benefits. As well as the</w:t>
      </w:r>
      <w:r>
        <w:rPr>
          <w:color w:val="4C4D4F"/>
          <w:spacing w:val="-59"/>
        </w:rPr>
        <w:t> </w:t>
      </w:r>
      <w:r>
        <w:rPr>
          <w:color w:val="4C4D4F"/>
        </w:rPr>
        <w:t>health gains to be made by preventing chronic disease, the benefits include promoting mental</w:t>
      </w:r>
      <w:r>
        <w:rPr>
          <w:color w:val="4C4D4F"/>
          <w:spacing w:val="1"/>
        </w:rPr>
        <w:t> </w:t>
      </w:r>
      <w:r>
        <w:rPr>
          <w:color w:val="4C4D4F"/>
        </w:rPr>
        <w:t>wellbeing, social connections and self-confidence; increasing workplace productivity; and positive</w:t>
      </w:r>
      <w:r>
        <w:rPr>
          <w:color w:val="4C4D4F"/>
          <w:spacing w:val="1"/>
        </w:rPr>
        <w:t> </w:t>
      </w:r>
      <w:r>
        <w:rPr>
          <w:color w:val="4C4D4F"/>
        </w:rPr>
        <w:t>changes to the environments we live and play in, such as reduced traffic congestion and safer</w:t>
      </w:r>
      <w:r>
        <w:rPr>
          <w:color w:val="4C4D4F"/>
          <w:spacing w:val="1"/>
        </w:rPr>
        <w:t> </w:t>
      </w:r>
      <w:r>
        <w:rPr>
          <w:color w:val="4C4D4F"/>
        </w:rPr>
        <w:t>neighbourhoods</w:t>
      </w:r>
      <w:r>
        <w:rPr>
          <w:color w:val="4C4D4F"/>
          <w:spacing w:val="-1"/>
        </w:rPr>
        <w:t> </w:t>
      </w:r>
      <w:r>
        <w:rPr>
          <w:color w:val="4C4D4F"/>
        </w:rPr>
        <w:t>(VicHealth,</w:t>
      </w:r>
      <w:r>
        <w:rPr>
          <w:color w:val="4C4D4F"/>
          <w:spacing w:val="2"/>
        </w:rPr>
        <w:t> </w:t>
      </w:r>
      <w:r>
        <w:rPr>
          <w:color w:val="4C4D4F"/>
        </w:rPr>
        <w:t>2019).</w:t>
      </w:r>
    </w:p>
    <w:p>
      <w:pPr>
        <w:pStyle w:val="Heading1"/>
        <w:spacing w:before="115"/>
      </w:pPr>
      <w:r>
        <w:rPr>
          <w:color w:val="44687A"/>
        </w:rPr>
        <w:t>How</w:t>
      </w:r>
      <w:r>
        <w:rPr>
          <w:color w:val="44687A"/>
          <w:spacing w:val="-1"/>
        </w:rPr>
        <w:t> </w:t>
      </w:r>
      <w:r>
        <w:rPr>
          <w:color w:val="44687A"/>
        </w:rPr>
        <w:t>are</w:t>
      </w:r>
      <w:r>
        <w:rPr>
          <w:color w:val="44687A"/>
          <w:spacing w:val="-3"/>
        </w:rPr>
        <w:t> </w:t>
      </w:r>
      <w:r>
        <w:rPr>
          <w:color w:val="44687A"/>
        </w:rPr>
        <w:t>the</w:t>
      </w:r>
      <w:r>
        <w:rPr>
          <w:color w:val="44687A"/>
          <w:spacing w:val="-4"/>
        </w:rPr>
        <w:t> </w:t>
      </w:r>
      <w:r>
        <w:rPr>
          <w:color w:val="44687A"/>
        </w:rPr>
        <w:t>State</w:t>
      </w:r>
      <w:r>
        <w:rPr>
          <w:color w:val="44687A"/>
          <w:spacing w:val="-6"/>
        </w:rPr>
        <w:t> </w:t>
      </w:r>
      <w:r>
        <w:rPr>
          <w:color w:val="44687A"/>
        </w:rPr>
        <w:t>and</w:t>
      </w:r>
      <w:r>
        <w:rPr>
          <w:color w:val="44687A"/>
          <w:spacing w:val="-4"/>
        </w:rPr>
        <w:t> </w:t>
      </w:r>
      <w:r>
        <w:rPr>
          <w:color w:val="44687A"/>
        </w:rPr>
        <w:t>Commonwealth</w:t>
      </w:r>
      <w:r>
        <w:rPr>
          <w:color w:val="44687A"/>
          <w:spacing w:val="-1"/>
        </w:rPr>
        <w:t> </w:t>
      </w:r>
      <w:r>
        <w:rPr>
          <w:color w:val="44687A"/>
        </w:rPr>
        <w:t>supporting</w:t>
      </w:r>
      <w:r>
        <w:rPr>
          <w:color w:val="44687A"/>
          <w:spacing w:val="-4"/>
        </w:rPr>
        <w:t> </w:t>
      </w:r>
      <w:r>
        <w:rPr>
          <w:color w:val="44687A"/>
        </w:rPr>
        <w:t>physical</w:t>
      </w:r>
      <w:r>
        <w:rPr>
          <w:color w:val="44687A"/>
          <w:spacing w:val="-1"/>
        </w:rPr>
        <w:t> </w:t>
      </w:r>
      <w:r>
        <w:rPr>
          <w:color w:val="44687A"/>
        </w:rPr>
        <w:t>health?</w:t>
      </w:r>
    </w:p>
    <w:p>
      <w:pPr>
        <w:pStyle w:val="BodyText"/>
        <w:spacing w:line="288" w:lineRule="auto" w:before="188"/>
        <w:ind w:left="109" w:right="851" w:firstLine="0"/>
      </w:pPr>
      <w:r>
        <w:rPr>
          <w:color w:val="4C4D4F"/>
        </w:rPr>
        <w:t>Commonwealth and State governments work to increase participation in physical activity by</w:t>
      </w:r>
      <w:r>
        <w:rPr>
          <w:color w:val="4C4D4F"/>
          <w:spacing w:val="-59"/>
        </w:rPr>
        <w:t> </w:t>
      </w:r>
      <w:r>
        <w:rPr>
          <w:color w:val="4C4D4F"/>
        </w:rPr>
        <w:t>establishing</w:t>
      </w:r>
      <w:r>
        <w:rPr>
          <w:color w:val="4C4D4F"/>
          <w:spacing w:val="-1"/>
        </w:rPr>
        <w:t> </w:t>
      </w:r>
      <w:r>
        <w:rPr>
          <w:color w:val="4C4D4F"/>
        </w:rPr>
        <w:t>policies and</w:t>
      </w:r>
      <w:r>
        <w:rPr>
          <w:color w:val="4C4D4F"/>
          <w:spacing w:val="-2"/>
        </w:rPr>
        <w:t> </w:t>
      </w:r>
      <w:r>
        <w:rPr>
          <w:color w:val="4C4D4F"/>
        </w:rPr>
        <w:t>programs which include: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22" w:after="0"/>
        <w:ind w:left="829" w:right="142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Establishing regulatory frameworks which seek to ensure that built and natural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environments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enhance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opportunities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for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physical</w:t>
      </w:r>
      <w:r>
        <w:rPr>
          <w:color w:val="4C4D4F"/>
          <w:spacing w:val="-10"/>
          <w:sz w:val="22"/>
        </w:rPr>
        <w:t> </w:t>
      </w:r>
      <w:r>
        <w:rPr>
          <w:color w:val="4C4D4F"/>
          <w:sz w:val="22"/>
        </w:rPr>
        <w:t>activity.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31" w:after="0"/>
        <w:ind w:left="829" w:right="178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Resourcing development of sporting facilities and supporting the work of National and state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sporting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organisations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across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sporting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codes.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31" w:after="0"/>
        <w:ind w:left="829" w:right="391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Resourcing the work of Peak Health and Arts organisations to develop evidence-based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resources and programs</w:t>
      </w:r>
      <w:r>
        <w:rPr>
          <w:color w:val="4C4D4F"/>
          <w:spacing w:val="-3"/>
          <w:sz w:val="22"/>
        </w:rPr>
        <w:t> </w:t>
      </w:r>
      <w:r>
        <w:rPr>
          <w:color w:val="4C4D4F"/>
          <w:spacing w:val="-1"/>
          <w:sz w:val="22"/>
        </w:rPr>
        <w:t>which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increase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participation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physical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activity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at the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local</w:t>
      </w:r>
      <w:r>
        <w:rPr>
          <w:color w:val="4C4D4F"/>
          <w:spacing w:val="-23"/>
          <w:sz w:val="22"/>
        </w:rPr>
        <w:t> </w:t>
      </w:r>
      <w:r>
        <w:rPr>
          <w:color w:val="4C4D4F"/>
          <w:sz w:val="22"/>
        </w:rPr>
        <w:t>level.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1"/>
        <w:spacing w:line="285" w:lineRule="auto" w:before="154"/>
        <w:ind w:right="917"/>
      </w:pPr>
      <w:r>
        <w:rPr>
          <w:color w:val="44687A"/>
        </w:rPr>
        <w:t>What is the role of the Port Phillip City Council in supporting community</w:t>
      </w:r>
      <w:r>
        <w:rPr>
          <w:color w:val="44687A"/>
          <w:spacing w:val="-75"/>
        </w:rPr>
        <w:t> </w:t>
      </w:r>
      <w:r>
        <w:rPr>
          <w:color w:val="44687A"/>
        </w:rPr>
        <w:t>physical</w:t>
      </w:r>
      <w:r>
        <w:rPr>
          <w:color w:val="44687A"/>
          <w:spacing w:val="-2"/>
        </w:rPr>
        <w:t> </w:t>
      </w:r>
      <w:r>
        <w:rPr>
          <w:color w:val="44687A"/>
        </w:rPr>
        <w:t>health?</w:t>
      </w:r>
    </w:p>
    <w:p>
      <w:pPr>
        <w:pStyle w:val="BodyText"/>
        <w:spacing w:line="288" w:lineRule="auto" w:before="127"/>
        <w:ind w:left="109" w:right="190" w:firstLine="0"/>
      </w:pPr>
      <w:r>
        <w:rPr>
          <w:color w:val="4C4D4F"/>
        </w:rPr>
        <w:t>Council can make an impact on their residents’ physical health and activity by delivering on its</w:t>
      </w:r>
      <w:r>
        <w:rPr>
          <w:color w:val="4C4D4F"/>
          <w:spacing w:val="1"/>
        </w:rPr>
        <w:t> </w:t>
      </w:r>
      <w:r>
        <w:rPr>
          <w:color w:val="4C4D4F"/>
        </w:rPr>
        <w:t>mandated responsibilities to provide immunisation services. It can also encourage physical activity</w:t>
      </w:r>
      <w:r>
        <w:rPr>
          <w:color w:val="4C4D4F"/>
          <w:spacing w:val="-59"/>
        </w:rPr>
        <w:t> </w:t>
      </w:r>
      <w:r>
        <w:rPr>
          <w:color w:val="4C4D4F"/>
        </w:rPr>
        <w:t>by</w:t>
      </w:r>
      <w:r>
        <w:rPr>
          <w:color w:val="4C4D4F"/>
          <w:spacing w:val="-1"/>
        </w:rPr>
        <w:t> </w:t>
      </w:r>
      <w:r>
        <w:rPr>
          <w:color w:val="4C4D4F"/>
        </w:rPr>
        <w:t>providing</w:t>
      </w:r>
      <w:r>
        <w:rPr>
          <w:color w:val="4C4D4F"/>
          <w:spacing w:val="-1"/>
        </w:rPr>
        <w:t> </w:t>
      </w:r>
      <w:r>
        <w:rPr>
          <w:color w:val="4C4D4F"/>
        </w:rPr>
        <w:t>public amenities</w:t>
      </w:r>
      <w:r>
        <w:rPr>
          <w:color w:val="4C4D4F"/>
          <w:spacing w:val="-1"/>
        </w:rPr>
        <w:t> </w:t>
      </w:r>
      <w:r>
        <w:rPr>
          <w:color w:val="4C4D4F"/>
        </w:rPr>
        <w:t>and coordinating</w:t>
      </w:r>
      <w:r>
        <w:rPr>
          <w:color w:val="4C4D4F"/>
          <w:spacing w:val="-1"/>
        </w:rPr>
        <w:t> </w:t>
      </w:r>
      <w:r>
        <w:rPr>
          <w:color w:val="4C4D4F"/>
        </w:rPr>
        <w:t>work across</w:t>
      </w:r>
      <w:r>
        <w:rPr>
          <w:color w:val="4C4D4F"/>
          <w:spacing w:val="-1"/>
        </w:rPr>
        <w:t> </w:t>
      </w:r>
      <w:r>
        <w:rPr>
          <w:color w:val="4C4D4F"/>
        </w:rPr>
        <w:t>areas</w:t>
      </w:r>
      <w:r>
        <w:rPr>
          <w:color w:val="4C4D4F"/>
          <w:spacing w:val="-3"/>
        </w:rPr>
        <w:t> </w:t>
      </w:r>
      <w:r>
        <w:rPr>
          <w:color w:val="4C4D4F"/>
        </w:rPr>
        <w:t>such</w:t>
      </w:r>
      <w:r>
        <w:rPr>
          <w:color w:val="4C4D4F"/>
          <w:spacing w:val="-2"/>
        </w:rPr>
        <w:t> </w:t>
      </w:r>
      <w:r>
        <w:rPr>
          <w:color w:val="4C4D4F"/>
        </w:rPr>
        <w:t>as: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36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Infrastructure,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street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facilities,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paths,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8"/>
          <w:sz w:val="22"/>
        </w:rPr>
        <w:t> </w:t>
      </w:r>
      <w:r>
        <w:rPr>
          <w:color w:val="4C4D4F"/>
          <w:sz w:val="22"/>
        </w:rPr>
        <w:t>trails.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Open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spaces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natural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environment.</w:t>
      </w:r>
    </w:p>
    <w:p>
      <w:pPr>
        <w:pStyle w:val="BodyText"/>
        <w:spacing w:before="7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Active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recreation,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programs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participation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events.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434" w:lineRule="auto" w:before="0" w:after="0"/>
        <w:ind w:left="109" w:right="4326" w:firstLine="359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Promoting walking, riding and scooting to school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Over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next three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years we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can: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38" w:lineRule="exact" w:before="0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Facilitate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strategic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approach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provision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recreation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sporting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facilities</w:t>
      </w:r>
      <w:r>
        <w:rPr>
          <w:color w:val="4C4D4F"/>
          <w:spacing w:val="-12"/>
          <w:sz w:val="22"/>
        </w:rPr>
        <w:t> </w:t>
      </w:r>
      <w:r>
        <w:rPr>
          <w:color w:val="4C4D4F"/>
          <w:sz w:val="22"/>
        </w:rPr>
        <w:t>and</w:t>
      </w:r>
    </w:p>
    <w:p>
      <w:pPr>
        <w:pStyle w:val="BodyText"/>
        <w:spacing w:before="46"/>
        <w:ind w:firstLine="0"/>
      </w:pPr>
      <w:r>
        <w:rPr>
          <w:color w:val="4C4D4F"/>
        </w:rPr>
        <w:t>infrastructure</w:t>
      </w:r>
      <w:r>
        <w:rPr>
          <w:color w:val="4C4D4F"/>
          <w:spacing w:val="-3"/>
        </w:rPr>
        <w:t> </w:t>
      </w:r>
      <w:r>
        <w:rPr>
          <w:color w:val="4C4D4F"/>
        </w:rPr>
        <w:t>to</w:t>
      </w:r>
      <w:r>
        <w:rPr>
          <w:color w:val="4C4D4F"/>
          <w:spacing w:val="-3"/>
        </w:rPr>
        <w:t> </w:t>
      </w:r>
      <w:r>
        <w:rPr>
          <w:color w:val="4C4D4F"/>
        </w:rPr>
        <w:t>meet the</w:t>
      </w:r>
      <w:r>
        <w:rPr>
          <w:color w:val="4C4D4F"/>
          <w:spacing w:val="-3"/>
        </w:rPr>
        <w:t> </w:t>
      </w:r>
      <w:r>
        <w:rPr>
          <w:color w:val="4C4D4F"/>
        </w:rPr>
        <w:t>needs</w:t>
      </w:r>
      <w:r>
        <w:rPr>
          <w:color w:val="4C4D4F"/>
          <w:spacing w:val="-1"/>
        </w:rPr>
        <w:t> </w:t>
      </w:r>
      <w:r>
        <w:rPr>
          <w:color w:val="4C4D4F"/>
        </w:rPr>
        <w:t>of the</w:t>
      </w:r>
      <w:r>
        <w:rPr>
          <w:color w:val="4C4D4F"/>
          <w:spacing w:val="-3"/>
        </w:rPr>
        <w:t> </w:t>
      </w:r>
      <w:r>
        <w:rPr>
          <w:color w:val="4C4D4F"/>
        </w:rPr>
        <w:t>community</w:t>
      </w:r>
      <w:r>
        <w:rPr>
          <w:color w:val="4C4D4F"/>
          <w:spacing w:val="-2"/>
        </w:rPr>
        <w:t> </w:t>
      </w:r>
      <w:r>
        <w:rPr>
          <w:color w:val="4C4D4F"/>
        </w:rPr>
        <w:t>now and</w:t>
      </w:r>
      <w:r>
        <w:rPr>
          <w:color w:val="4C4D4F"/>
          <w:spacing w:val="-1"/>
        </w:rPr>
        <w:t> </w:t>
      </w:r>
      <w:r>
        <w:rPr>
          <w:color w:val="4C4D4F"/>
        </w:rPr>
        <w:t>in</w:t>
      </w:r>
      <w:r>
        <w:rPr>
          <w:color w:val="4C4D4F"/>
          <w:spacing w:val="-3"/>
        </w:rPr>
        <w:t> </w:t>
      </w:r>
      <w:r>
        <w:rPr>
          <w:color w:val="4C4D4F"/>
        </w:rPr>
        <w:t>the</w:t>
      </w:r>
      <w:r>
        <w:rPr>
          <w:color w:val="4C4D4F"/>
          <w:spacing w:val="-2"/>
        </w:rPr>
        <w:t> </w:t>
      </w:r>
      <w:r>
        <w:rPr>
          <w:color w:val="4C4D4F"/>
        </w:rPr>
        <w:t>future.</w:t>
      </w:r>
    </w:p>
    <w:p>
      <w:pPr>
        <w:spacing w:after="0"/>
        <w:sectPr>
          <w:pgSz w:w="11910" w:h="16840"/>
          <w:pgMar w:header="0" w:footer="0" w:top="198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47" w:after="0"/>
        <w:ind w:left="829" w:right="341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Design neighbourhoods and create environments that encourage healthy lifestyles, 20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minute neighbourhoods for daily needs, connected communities and support participation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in physical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activity.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24" w:after="0"/>
        <w:ind w:left="829" w:right="66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Support and partner with government and non-government organisations to enable an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active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31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pacing w:val="-1"/>
          <w:sz w:val="22"/>
        </w:rPr>
        <w:t>Identify informal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recreational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opportunities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assist</w:t>
      </w:r>
      <w:r>
        <w:rPr>
          <w:color w:val="4C4D4F"/>
          <w:spacing w:val="3"/>
          <w:sz w:val="22"/>
        </w:rPr>
        <w:t> </w:t>
      </w:r>
      <w:r>
        <w:rPr>
          <w:color w:val="4C4D4F"/>
          <w:sz w:val="22"/>
        </w:rPr>
        <w:t>our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community to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be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more</w:t>
      </w:r>
      <w:r>
        <w:rPr>
          <w:color w:val="4C4D4F"/>
          <w:spacing w:val="-15"/>
          <w:sz w:val="22"/>
        </w:rPr>
        <w:t> </w:t>
      </w:r>
      <w:r>
        <w:rPr>
          <w:color w:val="4C4D4F"/>
          <w:sz w:val="22"/>
        </w:rPr>
        <w:t>active.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83" w:lineRule="auto" w:before="167" w:after="0"/>
        <w:ind w:left="829" w:right="192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Enhance access to places for physical activity, including walking paths, parks, recreational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facilities, and shared-use facilities among all community members, with a focus on areas of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disadvantaged.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83" w:lineRule="auto" w:before="122" w:after="0"/>
        <w:ind w:left="830" w:right="229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Explore a range of economic strategies that have the potential to address inequities in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access to resources used for physical activity including provision of deductions, subsidised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or low-cost council-run facilities, and incentives for private facilities or clubs to offer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programs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services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that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target</w:t>
      </w:r>
      <w:r>
        <w:rPr>
          <w:color w:val="4C4D4F"/>
          <w:spacing w:val="2"/>
          <w:sz w:val="22"/>
        </w:rPr>
        <w:t> </w:t>
      </w:r>
      <w:r>
        <w:rPr>
          <w:color w:val="4C4D4F"/>
          <w:spacing w:val="-1"/>
          <w:sz w:val="22"/>
        </w:rPr>
        <w:t>a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broader </w:t>
      </w:r>
      <w:r>
        <w:rPr>
          <w:color w:val="4C4D4F"/>
          <w:sz w:val="22"/>
        </w:rPr>
        <w:t>range of people from</w:t>
      </w:r>
      <w:r>
        <w:rPr>
          <w:color w:val="4C4D4F"/>
          <w:spacing w:val="3"/>
          <w:sz w:val="22"/>
        </w:rPr>
        <w:t> </w:t>
      </w:r>
      <w:r>
        <w:rPr>
          <w:color w:val="4C4D4F"/>
          <w:sz w:val="22"/>
        </w:rPr>
        <w:t>different social</w:t>
      </w:r>
      <w:r>
        <w:rPr>
          <w:color w:val="4C4D4F"/>
          <w:spacing w:val="-19"/>
          <w:sz w:val="22"/>
        </w:rPr>
        <w:t> </w:t>
      </w:r>
      <w:r>
        <w:rPr>
          <w:color w:val="4C4D4F"/>
          <w:sz w:val="22"/>
        </w:rPr>
        <w:t>groups.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151"/>
      </w:pPr>
      <w:r>
        <w:rPr>
          <w:color w:val="44687A"/>
        </w:rPr>
        <w:t>Who</w:t>
      </w:r>
      <w:r>
        <w:rPr>
          <w:color w:val="44687A"/>
          <w:spacing w:val="-2"/>
        </w:rPr>
        <w:t> </w:t>
      </w:r>
      <w:r>
        <w:rPr>
          <w:color w:val="44687A"/>
        </w:rPr>
        <w:t>are</w:t>
      </w:r>
      <w:r>
        <w:rPr>
          <w:color w:val="44687A"/>
          <w:spacing w:val="-2"/>
        </w:rPr>
        <w:t> </w:t>
      </w:r>
      <w:r>
        <w:rPr>
          <w:color w:val="44687A"/>
        </w:rPr>
        <w:t>our partners?</w:t>
      </w:r>
    </w:p>
    <w:p>
      <w:pPr>
        <w:pStyle w:val="BodyText"/>
        <w:spacing w:line="288" w:lineRule="auto" w:before="188"/>
        <w:ind w:left="109" w:right="191" w:firstLine="0"/>
      </w:pPr>
      <w:r>
        <w:rPr>
          <w:color w:val="4C4D4F"/>
        </w:rPr>
        <w:t>By undertaking work in partnership with cross sector organisations such as sports, active travel</w:t>
      </w:r>
      <w:r>
        <w:rPr>
          <w:color w:val="4C4D4F"/>
          <w:spacing w:val="1"/>
        </w:rPr>
        <w:t> </w:t>
      </w:r>
      <w:r>
        <w:rPr>
          <w:color w:val="4C4D4F"/>
        </w:rPr>
        <w:t>and recreation agencies, the arts, and workplaces, local governments have the capacity to create</w:t>
      </w:r>
      <w:r>
        <w:rPr>
          <w:color w:val="4C4D4F"/>
          <w:spacing w:val="1"/>
        </w:rPr>
        <w:t> </w:t>
      </w:r>
      <w:r>
        <w:rPr>
          <w:color w:val="4C4D4F"/>
        </w:rPr>
        <w:t>opportunities for their residents to make physical activity a part of their daily lives. Some of our key</w:t>
      </w:r>
      <w:r>
        <w:rPr>
          <w:color w:val="4C4D4F"/>
          <w:spacing w:val="-59"/>
        </w:rPr>
        <w:t> </w:t>
      </w:r>
      <w:r>
        <w:rPr>
          <w:color w:val="4C4D4F"/>
        </w:rPr>
        <w:t>partners</w:t>
      </w:r>
      <w:r>
        <w:rPr>
          <w:color w:val="4C4D4F"/>
          <w:spacing w:val="-1"/>
        </w:rPr>
        <w:t> </w:t>
      </w:r>
      <w:r>
        <w:rPr>
          <w:color w:val="4C4D4F"/>
        </w:rPr>
        <w:t>include: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22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Star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Health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8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Community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General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Practitioners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Sport and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Recreation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Victoria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2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Women’s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South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East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State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Sporting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Associations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8" w:lineRule="auto" w:before="168" w:after="0"/>
        <w:ind w:left="830" w:right="631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Community Sporting Clubs, walking and bike riding organisations and local community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groups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30" w:after="0"/>
        <w:ind w:left="830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Vic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Health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Department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Human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Services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8" w:after="0"/>
        <w:ind w:left="830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Registered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Personal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Trainers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Commercial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recreation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operators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1910" w:h="16840"/>
          <w:pgMar w:header="0" w:footer="0" w:top="1980" w:bottom="280" w:left="1020" w:right="1020"/>
        </w:sectPr>
      </w:pPr>
    </w:p>
    <w:p>
      <w:pPr>
        <w:pStyle w:val="Heading1"/>
        <w:spacing w:before="166"/>
      </w:pPr>
      <w:r>
        <w:rPr>
          <w:color w:val="44687A"/>
        </w:rPr>
        <w:t>What</w:t>
      </w:r>
      <w:r>
        <w:rPr>
          <w:color w:val="44687A"/>
          <w:spacing w:val="-1"/>
        </w:rPr>
        <w:t> </w:t>
      </w:r>
      <w:r>
        <w:rPr>
          <w:color w:val="44687A"/>
        </w:rPr>
        <w:t>may</w:t>
      </w:r>
      <w:r>
        <w:rPr>
          <w:color w:val="44687A"/>
          <w:spacing w:val="-1"/>
        </w:rPr>
        <w:t> </w:t>
      </w:r>
      <w:r>
        <w:rPr>
          <w:color w:val="44687A"/>
        </w:rPr>
        <w:t>change</w:t>
      </w:r>
      <w:r>
        <w:rPr>
          <w:color w:val="44687A"/>
          <w:spacing w:val="-1"/>
        </w:rPr>
        <w:t> </w:t>
      </w:r>
      <w:r>
        <w:rPr>
          <w:color w:val="44687A"/>
        </w:rPr>
        <w:t>over</w:t>
      </w:r>
      <w:r>
        <w:rPr>
          <w:color w:val="44687A"/>
          <w:spacing w:val="-2"/>
        </w:rPr>
        <w:t> </w:t>
      </w:r>
      <w:r>
        <w:rPr>
          <w:color w:val="44687A"/>
        </w:rPr>
        <w:t>the</w:t>
      </w:r>
      <w:r>
        <w:rPr>
          <w:color w:val="44687A"/>
          <w:spacing w:val="-2"/>
        </w:rPr>
        <w:t> </w:t>
      </w:r>
      <w:r>
        <w:rPr>
          <w:color w:val="44687A"/>
        </w:rPr>
        <w:t>next</w:t>
      </w:r>
      <w:r>
        <w:rPr>
          <w:color w:val="44687A"/>
          <w:spacing w:val="-3"/>
        </w:rPr>
        <w:t> </w:t>
      </w:r>
      <w:r>
        <w:rPr>
          <w:color w:val="44687A"/>
        </w:rPr>
        <w:t>five</w:t>
      </w:r>
      <w:r>
        <w:rPr>
          <w:color w:val="44687A"/>
          <w:spacing w:val="-5"/>
        </w:rPr>
        <w:t> </w:t>
      </w:r>
      <w:r>
        <w:rPr>
          <w:color w:val="44687A"/>
        </w:rPr>
        <w:t>years?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90" w:after="0"/>
        <w:ind w:left="829" w:right="12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 COVID-19 pandemic has seen many people changing their usual behaviours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activities including staying at home more and self-isolating. It is too early to predict the long-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term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physical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impacts of</w:t>
      </w:r>
      <w:r>
        <w:rPr>
          <w:color w:val="4C4D4F"/>
          <w:spacing w:val="4"/>
          <w:sz w:val="22"/>
        </w:rPr>
        <w:t> </w:t>
      </w:r>
      <w:r>
        <w:rPr>
          <w:color w:val="4C4D4F"/>
          <w:sz w:val="22"/>
        </w:rPr>
        <w:t>COVID-19.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24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Increased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importance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socialisation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through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recreational</w:t>
      </w:r>
      <w:r>
        <w:rPr>
          <w:color w:val="4C4D4F"/>
          <w:spacing w:val="-12"/>
          <w:sz w:val="22"/>
        </w:rPr>
        <w:t> </w:t>
      </w:r>
      <w:r>
        <w:rPr>
          <w:color w:val="4C4D4F"/>
          <w:sz w:val="22"/>
        </w:rPr>
        <w:t>activities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Heading1"/>
      </w:pPr>
      <w:r>
        <w:rPr>
          <w:color w:val="44687A"/>
        </w:rPr>
        <w:t>References</w:t>
      </w:r>
    </w:p>
    <w:p>
      <w:pPr>
        <w:spacing w:before="243"/>
        <w:ind w:left="109" w:right="0" w:firstLine="0"/>
        <w:jc w:val="left"/>
        <w:rPr>
          <w:i/>
          <w:sz w:val="22"/>
        </w:rPr>
      </w:pPr>
      <w:r>
        <w:rPr>
          <w:color w:val="4C4D4F"/>
          <w:sz w:val="22"/>
        </w:rPr>
        <w:t>Department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Human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Services, 2017. </w:t>
      </w:r>
      <w:r>
        <w:rPr>
          <w:i/>
          <w:color w:val="4C4D4F"/>
          <w:sz w:val="22"/>
        </w:rPr>
        <w:t>Victorian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Population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Health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Survey</w:t>
      </w:r>
      <w:r>
        <w:rPr>
          <w:i/>
          <w:color w:val="4C4D4F"/>
          <w:spacing w:val="-4"/>
          <w:sz w:val="22"/>
        </w:rPr>
        <w:t> </w:t>
      </w:r>
      <w:r>
        <w:rPr>
          <w:i/>
          <w:color w:val="4C4D4F"/>
          <w:sz w:val="22"/>
        </w:rPr>
        <w:t>2017.</w:t>
      </w:r>
    </w:p>
    <w:p>
      <w:pPr>
        <w:pStyle w:val="BodyText"/>
        <w:spacing w:before="52"/>
        <w:ind w:left="109" w:firstLine="0"/>
      </w:pPr>
      <w:r>
        <w:rPr>
          <w:color w:val="4C4D4F"/>
        </w:rPr>
        <w:t>s.l.:VicHealth.</w:t>
      </w:r>
    </w:p>
    <w:p>
      <w:pPr>
        <w:spacing w:line="288" w:lineRule="auto" w:before="169"/>
        <w:ind w:left="109" w:right="215" w:firstLine="0"/>
        <w:jc w:val="left"/>
        <w:rPr>
          <w:sz w:val="22"/>
        </w:rPr>
      </w:pPr>
      <w:r>
        <w:rPr>
          <w:color w:val="4C4D4F"/>
          <w:sz w:val="22"/>
        </w:rPr>
        <w:t>VicHealth, 2015. </w:t>
      </w:r>
      <w:r>
        <w:rPr>
          <w:i/>
          <w:color w:val="4C4D4F"/>
          <w:sz w:val="22"/>
        </w:rPr>
        <w:t>Promoting equity in physical activity: An evidence summary, </w:t>
      </w:r>
      <w:r>
        <w:rPr>
          <w:color w:val="4C4D4F"/>
          <w:sz w:val="22"/>
        </w:rPr>
        <w:t>s.l.: Victorian Health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Promotion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Foundation.</w:t>
      </w:r>
    </w:p>
    <w:p>
      <w:pPr>
        <w:spacing w:line="288" w:lineRule="auto" w:before="120"/>
        <w:ind w:left="109" w:right="238" w:firstLine="0"/>
        <w:jc w:val="left"/>
        <w:rPr>
          <w:sz w:val="22"/>
        </w:rPr>
      </w:pPr>
      <w:r>
        <w:rPr>
          <w:color w:val="4C4D4F"/>
          <w:sz w:val="22"/>
        </w:rPr>
        <w:t>VicHealth, 2017. </w:t>
      </w:r>
      <w:r>
        <w:rPr>
          <w:i/>
          <w:color w:val="4C4D4F"/>
          <w:sz w:val="22"/>
        </w:rPr>
        <w:t>Doing sport differently: Designing and delivering sport to engage people who are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less active,</w:t>
      </w:r>
      <w:r>
        <w:rPr>
          <w:i/>
          <w:color w:val="4C4D4F"/>
          <w:spacing w:val="-2"/>
          <w:sz w:val="22"/>
        </w:rPr>
        <w:t> </w:t>
      </w:r>
      <w:r>
        <w:rPr>
          <w:color w:val="4C4D4F"/>
          <w:sz w:val="22"/>
        </w:rPr>
        <w:t>Melbourne: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Vichealth.</w:t>
      </w:r>
    </w:p>
    <w:p>
      <w:pPr>
        <w:spacing w:line="403" w:lineRule="auto" w:before="120"/>
        <w:ind w:left="109" w:right="1205" w:firstLine="0"/>
        <w:jc w:val="left"/>
        <w:rPr>
          <w:sz w:val="22"/>
        </w:rPr>
      </w:pPr>
      <w:r>
        <w:rPr>
          <w:color w:val="4C4D4F"/>
          <w:sz w:val="22"/>
        </w:rPr>
        <w:t>VicHealth, 2019. </w:t>
      </w:r>
      <w:r>
        <w:rPr>
          <w:i/>
          <w:color w:val="4C4D4F"/>
          <w:sz w:val="22"/>
        </w:rPr>
        <w:t>VicHealth Physical Activity Strategy 2019-2023, </w:t>
      </w:r>
      <w:r>
        <w:rPr>
          <w:color w:val="4C4D4F"/>
          <w:sz w:val="22"/>
        </w:rPr>
        <w:t>Melbourne: VicHealth.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VicHealth,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2020.</w:t>
      </w:r>
      <w:r>
        <w:rPr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Coronavirus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Victorian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Wellbeing Impact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Study,</w:t>
      </w:r>
      <w:r>
        <w:rPr>
          <w:i/>
          <w:color w:val="4C4D4F"/>
          <w:spacing w:val="-1"/>
          <w:sz w:val="22"/>
        </w:rPr>
        <w:t> </w:t>
      </w:r>
      <w:r>
        <w:rPr>
          <w:color w:val="4C4D4F"/>
          <w:sz w:val="22"/>
        </w:rPr>
        <w:t>s.l.: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s.n.</w:t>
      </w:r>
    </w:p>
    <w:p>
      <w:pPr>
        <w:spacing w:line="245" w:lineRule="exact" w:before="0"/>
        <w:ind w:left="109" w:right="0" w:firstLine="0"/>
        <w:jc w:val="left"/>
        <w:rPr>
          <w:sz w:val="22"/>
        </w:rPr>
      </w:pPr>
      <w:r>
        <w:rPr>
          <w:color w:val="4C4D4F"/>
          <w:sz w:val="22"/>
        </w:rPr>
        <w:t>World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Organization, 2020. </w:t>
      </w:r>
      <w:r>
        <w:rPr>
          <w:i/>
          <w:color w:val="4C4D4F"/>
          <w:sz w:val="22"/>
        </w:rPr>
        <w:t>Physical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activity.</w:t>
      </w:r>
      <w:r>
        <w:rPr>
          <w:i/>
          <w:color w:val="4C4D4F"/>
          <w:spacing w:val="-4"/>
          <w:sz w:val="22"/>
        </w:rPr>
        <w:t> </w:t>
      </w:r>
      <w:r>
        <w:rPr>
          <w:color w:val="4C4D4F"/>
          <w:sz w:val="22"/>
        </w:rPr>
        <w:t>[Online]</w:t>
      </w:r>
    </w:p>
    <w:p>
      <w:pPr>
        <w:pStyle w:val="BodyText"/>
        <w:spacing w:line="288" w:lineRule="auto" w:before="57"/>
        <w:ind w:left="109" w:right="2569" w:hanging="1"/>
      </w:pPr>
      <w:r>
        <w:rPr>
          <w:color w:val="4C4D4F"/>
        </w:rPr>
        <w:t>Available at: </w:t>
      </w:r>
      <w:r>
        <w:rPr>
          <w:color w:val="4C4D4F"/>
          <w:u w:val="single" w:color="4C4D4F"/>
        </w:rPr>
        <w:t>https://</w:t>
      </w:r>
      <w:hyperlink r:id="rId7">
        <w:r>
          <w:rPr>
            <w:color w:val="4C4D4F"/>
            <w:u w:val="single" w:color="4C4D4F"/>
          </w:rPr>
          <w:t>www.who.int/health-topics/physical-activity#tab=tab_1</w:t>
        </w:r>
      </w:hyperlink>
      <w:r>
        <w:rPr>
          <w:color w:val="4C4D4F"/>
          <w:spacing w:val="-59"/>
        </w:rPr>
        <w:t> </w:t>
      </w:r>
      <w:r>
        <w:rPr>
          <w:color w:val="4C4D4F"/>
        </w:rPr>
        <w:t>[Accessed</w:t>
      </w:r>
      <w:r>
        <w:rPr>
          <w:color w:val="4C4D4F"/>
          <w:spacing w:val="-3"/>
        </w:rPr>
        <w:t> </w:t>
      </w:r>
      <w:r>
        <w:rPr>
          <w:color w:val="4C4D4F"/>
        </w:rPr>
        <w:t>31 12</w:t>
      </w:r>
      <w:r>
        <w:rPr>
          <w:color w:val="4C4D4F"/>
          <w:spacing w:val="-2"/>
        </w:rPr>
        <w:t> </w:t>
      </w:r>
      <w:r>
        <w:rPr>
          <w:color w:val="4C4D4F"/>
        </w:rPr>
        <w:t>2020].</w:t>
      </w:r>
    </w:p>
    <w:sectPr>
      <w:pgSz w:w="11910" w:h="16840"/>
      <w:pgMar w:header="0" w:footer="0" w:top="19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0</wp:posOffset>
          </wp:positionH>
          <wp:positionV relativeFrom="page">
            <wp:posOffset>253</wp:posOffset>
          </wp:positionV>
          <wp:extent cx="7537856" cy="1257427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856" cy="12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4701pt;margin-top:64.58448pt;width:319.9pt;height:14.3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color w:val="FFFFFF"/>
                    <w:sz w:val="22"/>
                  </w:rPr>
                  <w:t>Physical</w:t>
                </w:r>
                <w:r>
                  <w:rPr>
                    <w:b/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  <w:r>
                  <w:rPr>
                    <w:b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and</w:t>
                </w:r>
                <w:r>
                  <w:rPr>
                    <w:b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Activity</w:t>
                </w:r>
                <w:r>
                  <w:rPr>
                    <w:b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-</w:t>
                </w:r>
                <w:r>
                  <w:rPr>
                    <w:b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City of</w:t>
                </w:r>
                <w:r>
                  <w:rPr>
                    <w:color w:val="FFFFFF"/>
                    <w:spacing w:val="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Port</w:t>
                </w:r>
                <w:r>
                  <w:rPr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Phillip</w:t>
                </w:r>
                <w:r>
                  <w:rPr>
                    <w:color w:val="FFFFFF"/>
                    <w:spacing w:val="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Health</w:t>
                </w:r>
                <w:r>
                  <w:rPr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Profiles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29" w:hanging="361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sz w:val="28"/>
      <w:szCs w:val="28"/>
    </w:rPr>
  </w:style>
  <w:style w:styleId="Title" w:type="paragraph">
    <w:name w:val="Title"/>
    <w:basedOn w:val="Normal"/>
    <w:uiPriority w:val="1"/>
    <w:qFormat/>
    <w:pPr>
      <w:spacing w:before="77"/>
      <w:ind w:left="109"/>
    </w:pPr>
    <w:rPr>
      <w:rFonts w:ascii="Arial" w:hAnsi="Arial" w:eastAsia="Arial" w:cs="Arial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>
      <w:spacing w:before="167"/>
      <w:ind w:left="829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yperlink" Target="http://www.who.int/health-topics/physical-activity#tab%3Dtab_1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Brukarz</dc:creator>
  <dc:title>Health Profiles for Councillors 20 February 2021.pdf</dc:title>
  <dcterms:created xsi:type="dcterms:W3CDTF">2021-02-16T06:10:48Z</dcterms:created>
  <dcterms:modified xsi:type="dcterms:W3CDTF">2021-02-16T06:10:48Z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2021-02-16T00:00:00Z</vt:filetime>
  </property>
</Properties>
</file>